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-756285</wp:posOffset>
                </wp:positionH>
                <wp:positionV relativeFrom="margin">
                  <wp:posOffset>622935</wp:posOffset>
                </wp:positionV>
                <wp:extent cx="6838950" cy="4448175"/>
                <wp:effectExtent l="19050" t="0" r="0" b="0"/>
                <wp:wrapSquare wrapText="bothSides"/>
                <wp:docPr id="1" name="Рисунок 1" descr="MM_shadow-people-illu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MM_shadow-people-illu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838950" cy="444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argin-left:-59.55pt;mso-position-horizontal:absolute;mso-position-vertical-relative:margin;margin-top:49.05pt;mso-position-vertical:absolute;width:538.50pt;height:350.25pt;mso-wrap-distance-left:9.00pt;mso-wrap-distance-top:0.00pt;mso-wrap-distance-right:9.00pt;mso-wrap-distance-bottom:0.00pt;" stroked="f" strokeweight="0.75pt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ИНФОРМАЦИОННЫЙ ВЫПУСК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«Об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оказании услуг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сфере государственного кадастрового учета, государственной регистрации прав 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предоставления сведений из ЕГРН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ОТДЕЛ ПРАВОВОГО ОБЕСПЕЧЕНИЯ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УПРАВЛЕНИЯ РОСРЕЕСТРА ПО НОВОСИБИРСКОЙ ОБЛАСТИ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962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Новости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одательства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2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  <w:t xml:space="preserve">1.</w:t>
      </w:r>
      <w:r>
        <w:rPr>
          <w:b/>
          <w:bCs/>
        </w:rPr>
        <w:t xml:space="preserve"> </w:t>
      </w:r>
      <w:r>
        <w:rPr>
          <w:b/>
          <w:bCs/>
        </w:rPr>
        <w:t xml:space="preserve">П</w:t>
      </w:r>
      <w:r>
        <w:rPr>
          <w:b/>
          <w:bCs/>
        </w:rPr>
        <w:t xml:space="preserve">риказ Росреестра от 24.12.2024 № П/0426/24 «О внесении изменений в классификатор видов разрешенного использования земельных участков, утвержденный приказом Федеральной службы государстве</w:t>
      </w:r>
      <w:r>
        <w:rPr>
          <w:b/>
          <w:bCs/>
        </w:rPr>
        <w:t xml:space="preserve">нной регистрации, кадастра и картографии от 10 ноября 2020 г. № П/0412</w:t>
      </w:r>
      <w:r>
        <w:rPr>
          <w:b/>
          <w:bCs/>
        </w:rPr>
        <w:t xml:space="preserve">».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 16.05.2025 </w:t>
      </w:r>
      <w:r>
        <w:rPr>
          <w:b w:val="0"/>
          <w:bCs w:val="0"/>
          <w:highlight w:val="none"/>
        </w:rPr>
        <w:t xml:space="preserve">актуализирован классификатор видов разрешенного использования земельных участков</w:t>
      </w:r>
      <w:r>
        <w:rPr>
          <w:b w:val="0"/>
          <w:bCs w:val="0"/>
          <w:highlight w:val="none"/>
        </w:rPr>
        <w:t xml:space="preserve">. 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</w:rPr>
        <w:t xml:space="preserve">В классификатор внесены изменения с целью приведения его положений в соответствие с видами использования лесов, предусмотренными статьей 25 Лесного кодекса Российской Федерации</w:t>
      </w:r>
      <w:r>
        <w:rPr>
          <w:b w:val="0"/>
          <w:bCs w:val="0"/>
        </w:rPr>
        <w:t xml:space="preserve">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ectPr>
          <w:headerReference w:type="default" r:id="rId9"/>
          <w:headerReference w:type="first" r:id="rId10"/>
          <w:footerReference w:type="first" r:id="rId11"/>
          <w:footnotePr/>
          <w:endnotePr/>
          <w:type w:val="continuous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shd w:val="nil" w:color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pStyle w:val="962"/>
        <w:ind w:left="1069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нформационные письма и разъяснения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сфере государственного кадастрового учета и (или) государственной регистрации 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ав, материалы судебной практики</w:t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pStyle w:val="962"/>
        <w:ind w:left="1069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spacing w:line="245" w:lineRule="auto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/>
          <w:b/>
          <w:lang w:eastAsia="ru-RU"/>
        </w:rPr>
        <w:t xml:space="preserve">1. </w:t>
      </w:r>
      <w:r>
        <w:rPr>
          <w:b/>
        </w:rPr>
        <w:t xml:space="preserve">Информацио</w:t>
      </w:r>
      <w:r>
        <w:rPr>
          <w:b/>
          <w:bCs/>
        </w:rPr>
        <w:t xml:space="preserve">нное </w:t>
      </w:r>
      <w:r>
        <w:rPr>
          <w:b/>
          <w:bCs/>
        </w:rPr>
        <w:t xml:space="preserve">письмо Росреестра от </w:t>
      </w:r>
      <w:r>
        <w:rPr>
          <w:b/>
          <w:bCs/>
        </w:rPr>
        <w:t xml:space="preserve">25.04.2025</w:t>
      </w:r>
      <w:r>
        <w:rPr>
          <w:b/>
          <w:bCs/>
        </w:rPr>
        <w:t xml:space="preserve"> № </w:t>
      </w:r>
      <w:r>
        <w:rPr>
          <w:b/>
          <w:bCs/>
        </w:rPr>
        <w:t xml:space="preserve">06-01000/25</w:t>
      </w:r>
      <w:r>
        <w:rPr>
          <w:b/>
          <w:bCs/>
        </w:rPr>
        <w:t xml:space="preserve">, содержащее </w:t>
      </w:r>
      <w:r>
        <w:rPr>
          <w:b/>
          <w:bCs/>
        </w:rPr>
        <w:t xml:space="preserve">сводную информацию </w:t>
      </w:r>
      <w:r>
        <w:rPr>
          <w:b/>
          <w:bCs/>
        </w:rPr>
        <w:t xml:space="preserve">о применении изменений в отдельные </w:t>
      </w:r>
      <w:r>
        <w:rPr>
          <w:b/>
          <w:bCs/>
        </w:rPr>
        <w:t xml:space="preserve">законодательные акты Российской Федерации»</w:t>
      </w:r>
      <w:r>
        <w:rPr>
          <w:b/>
          <w:bCs/>
        </w:rPr>
        <w:t xml:space="preserve">,</w:t>
      </w:r>
      <w:r>
        <w:rPr>
          <w:b/>
          <w:bCs/>
        </w:rPr>
        <w:t xml:space="preserve"> </w:t>
      </w:r>
      <w:r>
        <w:rPr>
          <w:b/>
          <w:bCs/>
        </w:rPr>
        <w:t xml:space="preserve">предусматривающих с 01.03.2025 представление юридическими лицами заявлений </w:t>
      </w:r>
      <w:r>
        <w:rPr>
          <w:b/>
          <w:bCs/>
        </w:rPr>
        <w:t xml:space="preserve">о государственном кадастровом учете и (или) государственной регистрации прав</w:t>
      </w:r>
      <w:r>
        <w:rPr>
          <w:b/>
          <w:bCs/>
        </w:rPr>
        <w:t xml:space="preserve">, а также прилагаемых к ним документов в орган регистрации </w:t>
      </w:r>
      <w:r>
        <w:rPr>
          <w:b/>
          <w:bCs/>
        </w:rPr>
        <w:t xml:space="preserve">прав только в форме электронных документов</w:t>
      </w:r>
      <w:r>
        <w:rPr>
          <w:b/>
          <w:bCs/>
          <w:i/>
          <w:iCs/>
        </w:rPr>
        <w:t xml:space="preserve">.
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614062" cy="6526665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3305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4614061" cy="65266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63.31pt;height:513.91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6620375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54407" cy="8139701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196565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 flipH="0" flipV="0">
                          <a:off x="0" y="0"/>
                          <a:ext cx="5754405" cy="81396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53.10pt;height:640.92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b/>
          <w:bCs/>
          <w:lang w:eastAsia="ru-RU"/>
          <w14:ligatures w14:val="none"/>
        </w:rPr>
      </w:pPr>
      <w:r>
        <w:rPr>
          <w:b/>
          <w:bCs/>
          <w:lang w:eastAsia="ru-RU"/>
        </w:rPr>
      </w:r>
      <w:r>
        <w:rPr>
          <w:b/>
          <w:bCs/>
          <w:lang w:eastAsia="ru-RU"/>
        </w:rPr>
        <w:t xml:space="preserve">2. </w:t>
      </w:r>
      <w:r>
        <w:rPr>
          <w:b/>
          <w:bCs/>
          <w:lang w:eastAsia="ru-RU"/>
        </w:rPr>
        <w:t xml:space="preserve">Инф</w:t>
      </w:r>
      <w:r>
        <w:rPr>
          <w:b/>
          <w:bCs/>
          <w:lang w:eastAsia="ru-RU"/>
        </w:rPr>
        <w:t xml:space="preserve">ормационное письмо Росрее</w:t>
      </w:r>
      <w:r>
        <w:rPr>
          <w:b/>
          <w:bCs/>
          <w:lang w:eastAsia="ru-RU"/>
        </w:rPr>
        <w:t xml:space="preserve">стра </w:t>
      </w:r>
      <w:r>
        <w:rPr>
          <w:b/>
          <w:bCs/>
          <w:lang w:eastAsia="ru-RU"/>
        </w:rPr>
        <w:t xml:space="preserve">от </w:t>
      </w:r>
      <w:r>
        <w:rPr>
          <w:b/>
          <w:bCs/>
          <w:lang w:eastAsia="ru-RU"/>
        </w:rPr>
        <w:t xml:space="preserve">25.04.2025</w:t>
      </w:r>
      <w:r>
        <w:rPr>
          <w:b/>
          <w:bCs/>
          <w:lang w:eastAsia="ru-RU"/>
        </w:rPr>
        <w:t xml:space="preserve"> N </w:t>
      </w:r>
      <w:r>
        <w:rPr>
          <w:b/>
          <w:bCs/>
          <w:lang w:eastAsia="ru-RU"/>
        </w:rPr>
        <w:t xml:space="preserve">18-4038-ТГ/25</w:t>
      </w:r>
      <w:r>
        <w:rPr>
          <w:b/>
          <w:bCs/>
          <w:lang w:eastAsia="ru-RU"/>
        </w:rPr>
        <w:t xml:space="preserve"> о</w:t>
      </w:r>
      <w:r>
        <w:rPr>
          <w:b/>
          <w:bCs/>
          <w:lang w:eastAsia="ru-RU"/>
        </w:rPr>
        <w:t xml:space="preserve">б уведомлении кадастровых инженеров при выявлении реестровой ошибки до доработки ФГИС ЕГРН</w:t>
      </w:r>
      <w:r>
        <w:rPr>
          <w:b/>
          <w:bCs/>
          <w:lang w:eastAsia="ru-RU"/>
        </w:rPr>
        <w:t xml:space="preserve">.</w:t>
      </w:r>
      <w:r>
        <w:rPr>
          <w:b/>
          <w:bCs/>
          <w:lang w:eastAsia="ru-RU"/>
          <w14:ligatures w14:val="none"/>
        </w:rPr>
      </w:r>
      <w:r>
        <w:rPr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83800" cy="7332569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2948467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0" flipV="0">
                          <a:off x="0" y="0"/>
                          <a:ext cx="5183798" cy="733256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08.17pt;height:577.37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  <w:t xml:space="preserve">3. </w:t>
      </w:r>
      <w:r>
        <w:rPr>
          <w:b/>
        </w:rPr>
        <w:t xml:space="preserve">Письмо Росреестра от 15.05.2025 № </w:t>
      </w:r>
      <w:r>
        <w:rPr>
          <w:b/>
        </w:rPr>
        <w:t xml:space="preserve">04-00754/25</w:t>
      </w:r>
      <w:r>
        <w:rPr>
          <w:b/>
        </w:rPr>
        <w:t xml:space="preserve"> </w:t>
      </w:r>
      <w:r>
        <w:rPr>
          <w:b/>
        </w:rPr>
        <w:t xml:space="preserve">«</w:t>
      </w:r>
      <w:r>
        <w:rPr>
          <w:b/>
        </w:rPr>
        <w:t xml:space="preserve">О перенаправлении писем Минфина о возврате госпошлины в случае ее уплаты за заявителя (плательщика) иным лицом</w:t>
      </w:r>
      <w:r>
        <w:rPr>
          <w:b/>
        </w:rPr>
        <w:t xml:space="preserve">» 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left="0" w:right="0" w:firstLine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7734478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left="0" w:right="0" w:firstLine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137927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left="0" w:right="0" w:firstLine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7653650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b/>
          <w:bCs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134308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ind w:right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  <w:t xml:space="preserve">4. </w:t>
      </w:r>
      <w:r>
        <w:rPr>
          <w:b/>
        </w:rPr>
        <w:t xml:space="preserve">Письмо Росреестра от 06.05.2025 № </w:t>
      </w:r>
      <w:r>
        <w:rPr>
          <w:b/>
        </w:rPr>
        <w:t xml:space="preserve">18-4279-ТГ/25</w:t>
      </w:r>
      <w:r>
        <w:rPr>
          <w:b/>
        </w:rPr>
        <w:t xml:space="preserve"> </w:t>
      </w:r>
      <w:r>
        <w:rPr>
          <w:b/>
          <w:bCs/>
          <w:highlight w:val="none"/>
          <w14:ligatures w14:val="none"/>
        </w:rPr>
        <w:t xml:space="preserve">о порядке исправления реестровых ошибок</w:t>
      </w:r>
      <w:r>
        <w:rPr>
          <w:b/>
          <w:bCs/>
          <w:highlight w:val="none"/>
          <w14:ligatures w14:val="none"/>
        </w:rPr>
        <w:t xml:space="preserve">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right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0584792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right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right="0"/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730125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4560515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ind w:firstLine="708"/>
        <w:jc w:val="both"/>
        <w:rPr>
          <w:rStyle w:val="967"/>
          <w:rFonts w:ascii="Times New Roman" w:hAnsi="Times New Roman" w:cs="Times New Roman"/>
          <w:b/>
          <w:bCs/>
          <w:i/>
          <w:sz w:val="28"/>
          <w:szCs w:val="28"/>
          <w14:ligatures w14:val="none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/>
        </w:rPr>
      </w:r>
      <w:r>
        <w:rPr>
          <w:rStyle w:val="967"/>
          <w:rFonts w:ascii="Times New Roman" w:hAnsi="Times New Roman" w:cs="Times New Roman"/>
          <w:b/>
          <w:bCs/>
          <w:i/>
          <w:sz w:val="28"/>
          <w:szCs w:val="28"/>
          <w14:ligatures w14:val="none"/>
        </w:rPr>
      </w:r>
      <w:r>
        <w:rPr>
          <w:rStyle w:val="967"/>
          <w:rFonts w:ascii="Times New Roman" w:hAnsi="Times New Roman" w:cs="Times New Roman"/>
          <w:b/>
          <w:bCs/>
          <w:i/>
          <w:sz w:val="28"/>
          <w:szCs w:val="28"/>
          <w14:ligatures w14:val="none"/>
        </w:rPr>
      </w:r>
    </w:p>
    <w:p>
      <w:pPr>
        <w:ind w:firstLine="708"/>
        <w:jc w:val="both"/>
        <w:rPr>
          <w:rStyle w:val="967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pPr>
      <w:r>
        <w:rPr>
          <w:rStyle w:val="967"/>
          <w:rFonts w:ascii="Times New Roman" w:hAnsi="Times New Roman" w:cs="Times New Roman"/>
          <w:b/>
          <w:i/>
          <w:sz w:val="28"/>
          <w:szCs w:val="28"/>
        </w:rPr>
        <w:t xml:space="preserve">Новости информационных сайтов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Минэкономразвития России</w:t>
      </w:r>
      <w:r>
        <w:rPr>
          <w:rStyle w:val="967"/>
          <w:rFonts w:ascii="Times New Roman" w:hAnsi="Times New Roman" w:cs="Times New Roman"/>
          <w:b/>
          <w:i/>
          <w:sz w:val="28"/>
          <w:szCs w:val="28"/>
        </w:rPr>
        <w:t xml:space="preserve">, Росреестра и Управления Росреестра по Новосибирской области</w:t>
      </w:r>
      <w:r>
        <w:rPr>
          <w:rStyle w:val="967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  <w:r>
        <w:rPr>
          <w:rStyle w:val="967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Правительство РФ утвердило перечень мероприятий, необходимых для освоения земельного участка.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Председатель Правительства России </w:t>
      </w:r>
      <w:r>
        <w:rPr>
          <w:b w:val="0"/>
          <w:bCs w:val="0"/>
          <w:color w:val="292c2f"/>
        </w:rPr>
        <w:t xml:space="preserve">Михаил Мишустин</w:t>
      </w:r>
      <w:r>
        <w:rPr>
          <w:b w:val="0"/>
          <w:bCs w:val="0"/>
          <w:color w:val="292c2f"/>
        </w:rPr>
        <w:t xml:space="preserve"> подписал </w:t>
      </w:r>
      <w:hyperlink r:id="rId25" w:tooltip="http://publication.pravo.gov.ru/document/0001202504250038" w:history="1">
        <w:r>
          <w:rPr>
            <w:b w:val="0"/>
            <w:bCs w:val="0"/>
            <w:color w:val="292c2f"/>
          </w:rPr>
          <w:t xml:space="preserve">распоряжение Правительства РФ</w:t>
        </w:r>
      </w:hyperlink>
      <w:r>
        <w:rPr>
          <w:b w:val="0"/>
          <w:bCs w:val="0"/>
          <w:color w:val="292c2f"/>
        </w:rPr>
        <w:t xml:space="preserve">, которым утверждён перечень мероприятий по приведению земельных участков в состояние, пригодное для их использования по целевому назначению.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Документ разработан в рамках реализации </w:t>
      </w:r>
      <w:hyperlink r:id="rId26" w:tooltip="http://publication.pravo.gov.ru/document/0001202408080107" w:history="1">
        <w:r>
          <w:rPr>
            <w:b w:val="0"/>
            <w:bCs w:val="0"/>
            <w:color w:val="292c2f"/>
          </w:rPr>
          <w:t xml:space="preserve">Федерального закона № 307-ФЗ</w:t>
        </w:r>
      </w:hyperlink>
      <w:r>
        <w:rPr>
          <w:b w:val="0"/>
          <w:bCs w:val="0"/>
          <w:color w:val="292c2f"/>
        </w:rPr>
        <w:t xml:space="preserve">, который вступил в силу с 1 марта 2025 года и определяет трёхлетний срок для освоения земельных участков, расположенных в границах населённых пунктов, садовых и огородных земельных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новым правилам, правообладатели земельных участков, использо</w:t>
      </w:r>
      <w:r>
        <w:rPr>
          <w:b w:val="0"/>
          <w:bCs w:val="0"/>
          <w:color w:val="292c2f"/>
        </w:rPr>
        <w:t xml:space="preserve">вание которых сразу после приобретения прав невозможно, должны приступить к их использованию после проведения мероприятий по освоению. В перечне, установленном Правительством, прописаны конкретные мероприятия, которые необходимо провести в рамках освоения </w:t>
      </w:r>
      <w:r>
        <w:rPr>
          <w:b w:val="0"/>
          <w:bCs w:val="0"/>
          <w:color w:val="292c2f"/>
        </w:rPr>
        <w:t xml:space="preserve">участка.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«Основной целью установления Правительством России перечня мероприятий по освоению является формирование прозрачного механизма регулирования использования земельных участков, подлежащих вовлечению в экономический и хозяйственный оборот. Это позволит правоо</w:t>
      </w:r>
      <w:r>
        <w:rPr>
          <w:b w:val="0"/>
          <w:bCs w:val="0"/>
          <w:color w:val="292c2f"/>
        </w:rPr>
        <w:t xml:space="preserve">бладателям своевременно принять меры, необходимые для соблюдения законодательства. Будет достигнута цель повышения качества использования земельных ресурсов, обеспечена дополнительная защита граждан, использующих земельные участки, расположенные по соседст</w:t>
      </w:r>
      <w:r>
        <w:rPr>
          <w:b w:val="0"/>
          <w:bCs w:val="0"/>
          <w:color w:val="292c2f"/>
        </w:rPr>
        <w:t xml:space="preserve">ву с заброшенными и захламлёнными территориями. Также изменения будут стимулировать граждан в участии в жизни садоводческих и огороднических товариществ»,</w:t>
      </w:r>
      <w:r>
        <w:rPr>
          <w:b w:val="0"/>
          <w:bCs w:val="0"/>
          <w:color w:val="292c2f"/>
        </w:rPr>
        <w:t xml:space="preserve"> – отметил статс-секретарь – заместитель руководителя Росреестра </w:t>
      </w:r>
      <w:r>
        <w:rPr>
          <w:b w:val="0"/>
          <w:bCs w:val="0"/>
          <w:color w:val="292c2f"/>
        </w:rPr>
        <w:t xml:space="preserve">Алексей Бутовецкий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частности, предусмотрено освобождение земельного участка от деревьев и кустарников, мешающих его использованию, а также от сорных растений, отходов производства и потребления.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освоения при необходимости предлагается произвести работы по осуш</w:t>
      </w:r>
      <w:r>
        <w:rPr>
          <w:b w:val="0"/>
          <w:bCs w:val="0"/>
          <w:color w:val="292c2f"/>
        </w:rPr>
        <w:t xml:space="preserve">ению либо увлажнению земельного участка, рекультивации земель и непосредственной подготовке территории и почвы к использованию. Среди них в том числе разработка и укрепление грунта, устройство насыпей, снятие и хранение плодородного слоя почвы.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 этом п</w:t>
      </w:r>
      <w:r>
        <w:rPr>
          <w:b w:val="0"/>
          <w:bCs w:val="0"/>
          <w:color w:val="292c2f"/>
        </w:rPr>
        <w:t xml:space="preserve">равообладатель земельного участка самостоятельно определяет, что нужно сделать для того, чтобы приступить к его использованию в соответствии с целевым назначением и разрешённым использованием.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Земельный участок, расположенный в населённом пункте, садовый </w:t>
      </w:r>
      <w:r>
        <w:rPr>
          <w:b w:val="0"/>
          <w:bCs w:val="0"/>
          <w:color w:val="292c2f"/>
        </w:rPr>
        <w:t xml:space="preserve">земельный участок</w:t>
      </w:r>
      <w:r>
        <w:rPr>
          <w:b w:val="0"/>
          <w:bCs w:val="0"/>
          <w:color w:val="292c2f"/>
        </w:rPr>
        <w:t xml:space="preserve"> либо огородный сможет считаться неиспользуемым только по истечении срока освоения.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Помимо перечня мероприятий по освоению земельных участков, Правительством также будут установлены признаки неиспользования указанных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Более подр</w:t>
      </w:r>
      <w:r>
        <w:rPr>
          <w:b w:val="0"/>
          <w:bCs w:val="0"/>
          <w:color w:val="292c2f"/>
        </w:rPr>
        <w:t xml:space="preserve">обно о том, как работает закон об ос</w:t>
      </w:r>
      <w:r>
        <w:rPr>
          <w:b w:val="0"/>
          <w:bCs w:val="0"/>
          <w:color w:val="292c2f"/>
        </w:rPr>
        <w:t xml:space="preserve">воении и использовании земельных участков, читайте в </w:t>
      </w:r>
      <w:hyperlink r:id="rId27" w:tooltip="https://www.rosreestr.gov.ru/press/archive/rosreestr-razyasnil-kak-budet-rabotat-zakon-ob-osvoenii-i-ispolzovanii-uchastkov/" w:history="1">
        <w:r>
          <w:rPr>
            <w:b w:val="0"/>
            <w:bCs w:val="0"/>
            <w:color w:val="292c2f"/>
          </w:rPr>
          <w:t xml:space="preserve">материале</w:t>
        </w:r>
      </w:hyperlink>
      <w:r>
        <w:rPr>
          <w:b w:val="0"/>
          <w:bCs w:val="0"/>
          <w:color w:val="292c2f"/>
        </w:rPr>
        <w:t xml:space="preserve"> на нашем сайте.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В новых регионах в рамках сплошной инвентаризации выявлено порядка 252 тыс. объектов недвижимости.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вовлечения в оборот новых объектов недвижимости и повышения уровня инвестиционной активности в воссоединённых регионах продолжается работа по сплошной инвентаризации. Благодаря ей выявлено 251 750 объектов, сведения о которых внесены в Единый государст</w:t>
      </w:r>
      <w:r>
        <w:rPr>
          <w:b w:val="0"/>
          <w:bCs w:val="0"/>
          <w:color w:val="292c2f"/>
        </w:rPr>
        <w:t xml:space="preserve">венный реестр недвижимости, сообщил Заместитель Председателя Правительства </w:t>
      </w:r>
      <w:r>
        <w:rPr>
          <w:b w:val="0"/>
          <w:bCs w:val="0"/>
          <w:color w:val="292c2f"/>
        </w:rPr>
        <w:t xml:space="preserve">Марат Хуснуллин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«Сплошная инвентаризация в новых регионах ведётся по двум направлениям – изучение архивных документов, подтверждающих права собственности на объекты недвижимости или описывающих объекты, и обход территорий. Так, с начала реализации проекта завершены работы</w:t>
      </w:r>
      <w:r>
        <w:rPr>
          <w:b w:val="0"/>
          <w:bCs w:val="0"/>
          <w:color w:val="292c2f"/>
        </w:rPr>
        <w:t xml:space="preserve"> в 4230 кадастровых кварталах. Также на основании архивных документов внесены в ЕГРН сведения в отношении 1,4 млн объектов. В целом эта колоссальная работа позволяет создать точный реестр недвижимости не только для вовлечения в оборот новых объектов, но и </w:t>
      </w:r>
      <w:r>
        <w:rPr>
          <w:b w:val="0"/>
          <w:bCs w:val="0"/>
          <w:color w:val="292c2f"/>
        </w:rPr>
        <w:t xml:space="preserve">для того, чтобы граждане могли быстро и без проволочек оформить право собственности, защитить свои имущественные права. Также инвентаризация необходима для дальнейшего проведения массовой кадастровой оценки объектов»,</w:t>
      </w:r>
      <w:r>
        <w:rPr>
          <w:b w:val="0"/>
          <w:bCs w:val="0"/>
          <w:color w:val="292c2f"/>
        </w:rPr>
        <w:t xml:space="preserve"> – рассказал </w:t>
      </w:r>
      <w:r>
        <w:rPr>
          <w:b w:val="0"/>
          <w:bCs w:val="0"/>
          <w:color w:val="292c2f"/>
        </w:rPr>
        <w:t xml:space="preserve">Марат Хуснуллин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инвентаризации также уточняются характеристики объектов, сведения о которых внесены в ЕГРН, выявляются правообладатели, неиспользуемые земли и бесхозяйные здания, сооружения и помещения.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«Эту работу проводит ППК «Роскадастр» при координации Росреестра. В частности, уже выявлено 13 662 неиспользуемых земельных участка и территории общей площадью 112 тыс. га. В общей сложности до конца 2026 года планируется провести инвентаризацию более 28 т</w:t>
      </w:r>
      <w:r>
        <w:rPr>
          <w:b w:val="0"/>
          <w:bCs w:val="0"/>
          <w:color w:val="292c2f"/>
        </w:rPr>
        <w:t xml:space="preserve">ыс. кадастровых кварталов, доступных к обследованию»,</w:t>
      </w:r>
      <w:r>
        <w:rPr>
          <w:b w:val="0"/>
          <w:bCs w:val="0"/>
          <w:color w:val="292c2f"/>
        </w:rPr>
        <w:t xml:space="preserve"> – добавил руководитель Росреестра </w:t>
      </w:r>
      <w:r>
        <w:rPr>
          <w:b w:val="0"/>
          <w:bCs w:val="0"/>
          <w:color w:val="292c2f"/>
        </w:rPr>
        <w:t xml:space="preserve">Олег Скуфинский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3.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Росреестр обсудил с кредитными организациями особенности перехода на электронное взаимодействие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продолжает развивать цифровое взаимодействие с компаниями-застройщиками, кредитными организациями и депозитариями для повышения качества и эффективности услуг в сфере государственной регистрации прав.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</w:t>
      </w:r>
      <w:r>
        <w:rPr>
          <w:b w:val="0"/>
          <w:bCs w:val="0"/>
          <w:color w:val="292c2f"/>
        </w:rPr>
        <w:t xml:space="preserve"> рамках реализации новых требований законодательства состоялась серия рабочих встреч с представителями профессионального сообщества, в которых приняли участие территориальные управления Росреестра. Основной темой обсуждения стал обязательный переход на эле</w:t>
      </w:r>
      <w:r>
        <w:rPr>
          <w:b w:val="0"/>
          <w:bCs w:val="0"/>
          <w:color w:val="292c2f"/>
        </w:rPr>
        <w:t xml:space="preserve">ктронный документооборот при взаимодействии юридических лиц с Росреестром.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</w:t>
      </w:r>
      <w:r>
        <w:rPr>
          <w:b w:val="0"/>
          <w:bCs w:val="0"/>
          <w:color w:val="292c2f"/>
        </w:rPr>
        <w:t xml:space="preserve">зменения вступили в силу 1 марта 2025 года в соответствии с Федеральным законом № 487-ФЗ «О внесении изменений в отдельные законодательные акты Российской Федерации». Согласно нормам закона, юридические лица обязаны подавать заявления о государственном кад</w:t>
      </w:r>
      <w:r>
        <w:rPr>
          <w:b w:val="0"/>
          <w:bCs w:val="0"/>
          <w:color w:val="292c2f"/>
        </w:rPr>
        <w:t xml:space="preserve">астровом учете или регистрации прав исключительно в электронной форме.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</w:t>
      </w:r>
      <w:r>
        <w:rPr>
          <w:b w:val="0"/>
          <w:bCs w:val="0"/>
          <w:color w:val="292c2f"/>
        </w:rPr>
        <w:t xml:space="preserve">В соответствии с Указом Президента Российской Федерации от 07.05.2024 № 309 Росреестр активно внедряет цифровые технологии, повышая доступность своих услуг для граждан и бизнеса. Полный переход на электронное взаимодействие с юридическими лицами — это важн</w:t>
      </w:r>
      <w:r>
        <w:rPr>
          <w:b w:val="0"/>
          <w:bCs w:val="0"/>
          <w:color w:val="292c2f"/>
        </w:rPr>
        <w:t xml:space="preserve">ы</w:t>
      </w:r>
      <w:r>
        <w:rPr>
          <w:b w:val="0"/>
          <w:bCs w:val="0"/>
          <w:color w:val="292c2f"/>
        </w:rPr>
        <w:t xml:space="preserve">й шаг в достижении национальной цели повышения эффективности государственного управления и создания цифрового государства, который обеспечит максимальную прозрачность процедур, а также ускорит получение государственных услуг ведомства в сфере кадастрового </w:t>
      </w:r>
      <w:r>
        <w:rPr>
          <w:b w:val="0"/>
          <w:bCs w:val="0"/>
          <w:color w:val="292c2f"/>
        </w:rPr>
        <w:t xml:space="preserve">учета и регистрации прав», - сказал начальник Управления Управление стратегического развития и цифровой трансформации Сергей Белокопытов.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</w:t>
      </w:r>
      <w:r>
        <w:rPr>
          <w:b w:val="0"/>
          <w:bCs w:val="0"/>
          <w:color w:val="292c2f"/>
        </w:rPr>
        <w:t xml:space="preserve">ля подачи электронных документов на регистрацию юридические лица могут использовать несколько удобных каналов: официальный сайт Росреестра, его веб-сервисы, адаптер электронного взаимодействия и федеральную государственную информационную систему межведомст</w:t>
      </w:r>
      <w:r>
        <w:rPr>
          <w:b w:val="0"/>
          <w:bCs w:val="0"/>
          <w:color w:val="292c2f"/>
        </w:rPr>
        <w:t xml:space="preserve">венного электронного взаимодействия (СМЭВ).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Участники совещания также обсудили возможности корректировки внутренних процессов регистрации ипотеки, выдачи и сопровождения электронных закладных.</w:t>
      </w:r>
      <w:r/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</w:t>
      </w:r>
      <w:r>
        <w:rPr>
          <w:b w:val="0"/>
          <w:bCs w:val="0"/>
          <w:color w:val="292c2f"/>
        </w:rPr>
        <w:t xml:space="preserve">апомним, что с 2020 года Росреестр активно внедряет инструменты цифрового взаимодействия для профессиональных участников рынка. Среди них: платформа кадастровых работ, проверка достоверности выписок из ЕГРН и сервис с использованием ИИ «Цифровой помощник Е</w:t>
      </w:r>
      <w:r>
        <w:rPr>
          <w:b w:val="0"/>
          <w:bCs w:val="0"/>
          <w:color w:val="292c2f"/>
        </w:rPr>
        <w:t xml:space="preserve">ВА».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4.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Росреестр разработал законопроект для обеспечения реализации мер по эффективному использованию земли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</w:t>
      </w:r>
      <w:r>
        <w:rPr>
          <w:b w:val="0"/>
          <w:bCs w:val="0"/>
          <w:color w:val="292c2f"/>
        </w:rPr>
        <w:t xml:space="preserve">осреестр разработал проект федерального закона для обеспечения реализации вступивших с 1 марта 2025 года изменений законодательства, направленных на эффективное использование земли и стимулирование оформления гражданами земельных участков и объектов капита</w:t>
      </w:r>
      <w:r>
        <w:rPr>
          <w:b w:val="0"/>
          <w:bCs w:val="0"/>
          <w:color w:val="292c2f"/>
        </w:rPr>
        <w:t xml:space="preserve">льного строительства (федеральные законы № 307-ФЗ от 08.08.2024 и № 487-ФЗ от 26.12.24).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</w:t>
      </w:r>
      <w:r>
        <w:rPr>
          <w:b w:val="0"/>
          <w:bCs w:val="0"/>
          <w:color w:val="292c2f"/>
        </w:rPr>
        <w:t xml:space="preserve">анный законопроект поможет защитить добропорядочных граждан и представителей юридических лиц, которые ухаживают за своими земельными участками, своевременно оформляют документы при покупке недвижимости и платят налоги, а органам власти он позволит более эф</w:t>
      </w:r>
      <w:r>
        <w:rPr>
          <w:b w:val="0"/>
          <w:bCs w:val="0"/>
          <w:color w:val="292c2f"/>
        </w:rPr>
        <w:t xml:space="preserve">фективно управлять ресурсами и планировать развитие территорий.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</w:t>
      </w:r>
      <w:r>
        <w:rPr>
          <w:b w:val="0"/>
          <w:bCs w:val="0"/>
          <w:color w:val="292c2f"/>
        </w:rPr>
        <w:t xml:space="preserve">На территории страны остаются участки, здания и сооружения, у которых юридически отсутствуют хозяева. Зачастую такие объекты используются не по назначению и без учета интересов и прав соседей. Разработанный законопроект позволит в полной мере реализовать п</w:t>
      </w:r>
      <w:r>
        <w:rPr>
          <w:b w:val="0"/>
          <w:bCs w:val="0"/>
          <w:color w:val="292c2f"/>
        </w:rPr>
        <w:t xml:space="preserve">р</w:t>
      </w:r>
      <w:r>
        <w:rPr>
          <w:b w:val="0"/>
          <w:bCs w:val="0"/>
          <w:color w:val="292c2f"/>
        </w:rPr>
        <w:t xml:space="preserve">инятые меры по стимулированию оформления гражданами объектов недвижимости и решить проблемы заброшенных участков, вопросы, связанные с несоответствием назначения зданий и сооружений с видом разрешенного использования земельных участков, на которых они расп</w:t>
      </w:r>
      <w:r>
        <w:rPr>
          <w:b w:val="0"/>
          <w:bCs w:val="0"/>
          <w:color w:val="292c2f"/>
        </w:rPr>
        <w:t xml:space="preserve">оложены, обеспечить бесшовное оформление прав дольщиков на квартиры, а также предоставит органам власти актуальную информацию о земле и недвижимости», - сказал заместитель руководителя Росреестра – статс-секретарь Алексей Бутовецкий.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</w:t>
      </w:r>
      <w:r>
        <w:rPr>
          <w:b w:val="0"/>
          <w:bCs w:val="0"/>
          <w:color w:val="292c2f"/>
        </w:rPr>
        <w:t xml:space="preserve">н добавил, что сейчас усовершенствован порядок оказания услуг в сфере земли и недвижимости, внедрены новые механизмы, позволяющие оформить права на земельные участки и другие объекты в удобном формате и в минимальные сроки. Кроме того, для освоения земельн</w:t>
      </w:r>
      <w:r>
        <w:rPr>
          <w:b w:val="0"/>
          <w:bCs w:val="0"/>
          <w:color w:val="292c2f"/>
        </w:rPr>
        <w:t xml:space="preserve">ого участка, для выполнения необходимых действий для постановки недвижимости на государственный кадастровый учет и регистрацию прав на нее по закону предусмотрено достаточное количество времени.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Законопроект предполагает введение административной ответственности за нарушение требований, предусмотренных федеральными законами. Изменения предлагается внести в Кодекс об административных правонарушениях РФ.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</w:t>
      </w:r>
      <w:r>
        <w:rPr>
          <w:b w:val="0"/>
          <w:bCs w:val="0"/>
          <w:color w:val="292c2f"/>
        </w:rPr>
        <w:t xml:space="preserve">о словам Алексея Бутовецкого, предусматривается административный штраф для владельцев зданий и сооружений, которые расположены на незарегистрированных земельных участках (уточняется состав административного правонарушения, предусмотренный статьей 7.1 КоАП </w:t>
      </w:r>
      <w:r>
        <w:rPr>
          <w:b w:val="0"/>
          <w:bCs w:val="0"/>
          <w:color w:val="292c2f"/>
        </w:rPr>
        <w:t xml:space="preserve">Р</w:t>
      </w:r>
      <w:r>
        <w:rPr>
          <w:b w:val="0"/>
          <w:bCs w:val="0"/>
          <w:color w:val="292c2f"/>
        </w:rPr>
        <w:t xml:space="preserve">Ф). Также штраф предлагается ввести за использование зданий не в соответствии с разрешенным использованием земельного участка (уточняется состав административного правонарушения, предусмотренный частью 1 статьи 8.8 КоАП РФ). К примеру, когда на земельных у</w:t>
      </w:r>
      <w:r>
        <w:rPr>
          <w:b w:val="0"/>
          <w:bCs w:val="0"/>
          <w:color w:val="292c2f"/>
        </w:rPr>
        <w:t xml:space="preserve">частках, предназначенных для индивидуального жилищного строительства, располагаются магазины, автомобильные мойки, туристические и другие объекты.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</w:t>
      </w:r>
      <w:r>
        <w:rPr>
          <w:b w:val="0"/>
          <w:bCs w:val="0"/>
          <w:color w:val="292c2f"/>
        </w:rPr>
        <w:t xml:space="preserve">редусмотрена ответственность и за неисполнение обязанности, в соответствии с которой правообладатель земельного участка из состава населенных пунктов, садового и огородного участка должен приступить к его использованию в установленный срок (уточняется сост</w:t>
      </w:r>
      <w:r>
        <w:rPr>
          <w:b w:val="0"/>
          <w:bCs w:val="0"/>
          <w:color w:val="292c2f"/>
        </w:rPr>
        <w:t xml:space="preserve">а</w:t>
      </w:r>
      <w:r>
        <w:rPr>
          <w:b w:val="0"/>
          <w:bCs w:val="0"/>
          <w:color w:val="292c2f"/>
        </w:rPr>
        <w:t xml:space="preserve">в административного правонарушения, предусмотренный частью 3 статьи 8.8 КоАП РФ). Так, законом № 307-ФЗ, установлено, что гражданам дополнительно даётся 3 года, чтобы провести все необходимые работы и подготовить участок к использованию (очистить его от му</w:t>
      </w:r>
      <w:r>
        <w:rPr>
          <w:b w:val="0"/>
          <w:bCs w:val="0"/>
          <w:color w:val="292c2f"/>
        </w:rPr>
        <w:t xml:space="preserve">с</w:t>
      </w:r>
      <w:r>
        <w:rPr>
          <w:b w:val="0"/>
          <w:bCs w:val="0"/>
          <w:color w:val="292c2f"/>
        </w:rPr>
        <w:t xml:space="preserve">ора, осушить, выровнять рельеф и т.д.). В течение этого 3-летнего срока, пока собственник осваивает участок, его нельзя привлечь к ответственности за нецелевое использование земли, поскольку он к нему еще не приступал. После истечения 3 лет, предназначенны</w:t>
      </w:r>
      <w:r>
        <w:rPr>
          <w:b w:val="0"/>
          <w:bCs w:val="0"/>
          <w:color w:val="292c2f"/>
        </w:rPr>
        <w:t xml:space="preserve">х для освоения земли, человек уже начинает использовать ее по назначению. С этого момента собственник несет ответственность за неиспользование участка, и контрольные (надзорные) органы могут зафиксировать нарушения.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</w:t>
      </w:r>
      <w:r>
        <w:rPr>
          <w:b w:val="0"/>
          <w:bCs w:val="0"/>
          <w:color w:val="292c2f"/>
        </w:rPr>
        <w:t xml:space="preserve">акже предлагается ввести административную ответственность для лиц, которые без оформления прав эксплуатируют здания, помещения или машино-места, не требующие получения разрешения на строительство (в статью 9.5 КоАП РФ вводится часть 6). Такие объекты до пр</w:t>
      </w:r>
      <w:r>
        <w:rPr>
          <w:b w:val="0"/>
          <w:bCs w:val="0"/>
          <w:color w:val="292c2f"/>
        </w:rPr>
        <w:t xml:space="preserve">иобретения прав не являются собственностью граждан и юридических лиц, и доказать их принадлежность трудно (в случае судебных споров, стихийных бедствий, чрезвычайных ситуаций и т.д.).</w:t>
      </w:r>
      <w:r/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Рассчитываем, что введение данных мер будет способствовать использованию земельных участков, зданий и сооружений в соответствии с нормами законодательства.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5.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Росреестр на заседании коллегии подвёл итоги за 2024 год и определил приоритеты на предстоящий период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14:ligatures w14:val="none"/>
        </w:rPr>
        <w:t xml:space="preserve">В Росреестре под председательством руководителя ведомства Олега Скуфинского состоялось итоговое заседание коллегии, на котором были подведены итоги по ключевым направлениям деятельности Службы за 2024 год и определены планы на предстоящий период.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В</w:t>
      </w:r>
      <w:r>
        <w:rPr>
          <w:b w:val="0"/>
          <w:bCs w:val="0"/>
          <w:color w:val="292c2f"/>
          <w:highlight w:val="none"/>
          <w14:ligatures w14:val="none"/>
        </w:rPr>
        <w:t xml:space="preserve"> заседании приняли участие председатель Комитета Совета Федерации по аграрно-продовольственной политике и природопользованию Александр Двойных, заместитель председателя Комитета Совета Федерации по экономической политике Александр Трембицкий, аудитор Счётн</w:t>
      </w:r>
      <w:r>
        <w:rPr>
          <w:b w:val="0"/>
          <w:bCs w:val="0"/>
          <w:color w:val="292c2f"/>
          <w:highlight w:val="none"/>
          <w14:ligatures w14:val="none"/>
        </w:rPr>
        <w:t xml:space="preserve">о</w:t>
      </w:r>
      <w:r>
        <w:rPr>
          <w:b w:val="0"/>
          <w:bCs w:val="0"/>
          <w:color w:val="292c2f"/>
          <w:highlight w:val="none"/>
          <w14:ligatures w14:val="none"/>
        </w:rPr>
        <w:t xml:space="preserve">й палаты РФ Андрей Батуркин, генеральный директор ППК «Роскадастр» Владислав Жданов, председатель Общественного совета при Росреестре Александр Каньшин, представители Аппарата Правительства РФ и Генпрокуратуры РФ, а также сотрудники центрального аппарата, </w:t>
      </w:r>
      <w:r>
        <w:rPr>
          <w:b w:val="0"/>
          <w:bCs w:val="0"/>
          <w:color w:val="292c2f"/>
          <w:highlight w:val="none"/>
          <w14:ligatures w14:val="none"/>
        </w:rPr>
        <w:t xml:space="preserve">территориальных управлений ведомства и филиалов ППК «Роскадастр».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</w:t>
      </w:r>
      <w:r>
        <w:rPr>
          <w:b w:val="0"/>
          <w:bCs w:val="0"/>
          <w:color w:val="292c2f"/>
          <w:highlight w:val="none"/>
          <w14:ligatures w14:val="none"/>
        </w:rPr>
        <w:t xml:space="preserve">идеообращение участникам мероприятия направил Заместитель Председателя Правительства РФ Марат Хуснуллин. Он отметил эффективную работу Росреестра по реализации госпрограммы «Национальная система пространственных данных», а также важность выполнения показат</w:t>
      </w:r>
      <w:r>
        <w:rPr>
          <w:b w:val="0"/>
          <w:bCs w:val="0"/>
          <w:color w:val="292c2f"/>
          <w:highlight w:val="none"/>
          <w14:ligatures w14:val="none"/>
        </w:rPr>
        <w:t xml:space="preserve">елей нового нацпроекта «Инфраструктура для жизни».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Отмечу, что все показатели госпрограммы в 2024 году выполнены в полном объеме. Впервые в истории Росреестр обеспечил 100-процентное кассовое исполнение бюджета. Сокращаются сроки по кадастровым работам, учету, регистрации прав. По поручению Президента РФ п</w:t>
      </w:r>
      <w:r>
        <w:rPr>
          <w:b w:val="0"/>
          <w:bCs w:val="0"/>
          <w:color w:val="292c2f"/>
          <w:highlight w:val="none"/>
          <w14:ligatures w14:val="none"/>
        </w:rPr>
        <w:t xml:space="preserve">р</w:t>
      </w:r>
      <w:r>
        <w:rPr>
          <w:b w:val="0"/>
          <w:bCs w:val="0"/>
          <w:color w:val="292c2f"/>
          <w:highlight w:val="none"/>
          <w14:ligatures w14:val="none"/>
        </w:rPr>
        <w:t xml:space="preserve">оводится работа по сплошной инвентаризации в новых регионах. Прошу держать ее на особом контроле. Из основных приоритетов на 2025 год отмечу выявление земли и вовлечение ее в оборот, в том числе для жилищного строительства. Это важное направление, без кото</w:t>
      </w:r>
      <w:r>
        <w:rPr>
          <w:b w:val="0"/>
          <w:bCs w:val="0"/>
          <w:color w:val="292c2f"/>
          <w:highlight w:val="none"/>
          <w14:ligatures w14:val="none"/>
        </w:rPr>
        <w:t xml:space="preserve">рого нам не выполнить показатели нового национального проекта «Инфраструктура для жизни», - сказал вице-премьер.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</w:t>
      </w:r>
      <w:r>
        <w:rPr>
          <w:b w:val="0"/>
          <w:bCs w:val="0"/>
          <w:color w:val="292c2f"/>
          <w:highlight w:val="none"/>
          <w14:ligatures w14:val="none"/>
        </w:rPr>
        <w:t xml:space="preserve">ак отметил Олег Скуфинский, в соответствии с поручениями Правительства РФ по данному нацпроекту Росреестр актуализировал свой основной стратегический документ - госпрограмму НСПД, дополнив ее приоритетными мероприятиями, в том числе в опорных населенных пу</w:t>
      </w:r>
      <w:r>
        <w:rPr>
          <w:b w:val="0"/>
          <w:bCs w:val="0"/>
          <w:color w:val="292c2f"/>
          <w:highlight w:val="none"/>
          <w14:ligatures w14:val="none"/>
        </w:rPr>
        <w:t xml:space="preserve">нктах.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Андрей Батуркин в ходе выступления отметил сложившееся конструктивное взаимодействие с Росреестром. По его словам, в Службе находят отклик предложения Счетной палаты по улучшению и оптимизации работы, а выявленные недостатки устраняются в кратчайший срок.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У</w:t>
      </w:r>
      <w:r>
        <w:rPr>
          <w:b w:val="0"/>
          <w:bCs w:val="0"/>
          <w:color w:val="292c2f"/>
          <w:highlight w:val="none"/>
          <w14:ligatures w14:val="none"/>
        </w:rPr>
        <w:t xml:space="preserve">тверждено положительное заключение по итогам проверки исполнения Росреестром бюджета за 2024 год. Бюджет исполнен на высоком уровне. Начиная с 2019 по 2024 гг. доходы Росреестра выросли более чем в 1,5 раза. Ожидания на этот год – рост доходов примерно в 2</w:t>
      </w:r>
      <w:r>
        <w:rPr>
          <w:b w:val="0"/>
          <w:bCs w:val="0"/>
          <w:color w:val="292c2f"/>
          <w:highlight w:val="none"/>
          <w14:ligatures w14:val="none"/>
        </w:rPr>
        <w:t xml:space="preserve">-</w:t>
      </w:r>
      <w:r>
        <w:rPr>
          <w:b w:val="0"/>
          <w:bCs w:val="0"/>
          <w:color w:val="292c2f"/>
          <w:highlight w:val="none"/>
          <w14:ligatures w14:val="none"/>
        </w:rPr>
        <w:t xml:space="preserve">2,4 раза по сравнению с прошлым годом. Служба приближается к историческому рубежу, чтобы стать полноценным донором для бюджета. Расходы также исполнены качественно – на 99,9% в периоде. Основная часть расходов была осуществлена в рамках госпрограммы НСПД, </w:t>
      </w:r>
      <w:r>
        <w:rPr>
          <w:b w:val="0"/>
          <w:bCs w:val="0"/>
          <w:color w:val="292c2f"/>
          <w:highlight w:val="none"/>
          <w14:ligatures w14:val="none"/>
        </w:rPr>
        <w:t xml:space="preserve">по которой Росреестр является ответственным исполнителем. Позитивно оцениваем и тот факт, что все запланированные на 2024 год результаты и показатели госпрограммы и ее структурных элементов достигнуты», - сказал Андрей Батуркин.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6. Итоги законодательной работы и приоритеты 2025.</w:t>
      </w:r>
      <w:r>
        <w:rPr>
          <w:b/>
          <w:bCs/>
          <w:color w:val="292c2f"/>
          <w:highlight w:val="none"/>
        </w:rPr>
      </w:r>
      <w:r>
        <w:rPr>
          <w:b/>
          <w:bCs/>
          <w:color w:val="292c2f"/>
          <w:highlight w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</w:t>
      </w:r>
      <w:r>
        <w:rPr>
          <w:b w:val="0"/>
          <w:bCs w:val="0"/>
          <w:color w:val="292c2f"/>
          <w:highlight w:val="none"/>
          <w14:ligatures w14:val="none"/>
        </w:rPr>
        <w:t xml:space="preserve">ак сообщил в своем докладе руководитель ведомства, начиная с 2020 года, по инициативе Росреестра принято 88 федеральных законов для граждан, государства и бизнеса, 22 из них - в 2024 году. Наиболее значимыми инициативами в прошлом году стали: введение на з</w:t>
      </w:r>
      <w:r>
        <w:rPr>
          <w:b w:val="0"/>
          <w:bCs w:val="0"/>
          <w:color w:val="292c2f"/>
          <w:highlight w:val="none"/>
          <w14:ligatures w14:val="none"/>
        </w:rPr>
        <w:t xml:space="preserve">а</w:t>
      </w:r>
      <w:r>
        <w:rPr>
          <w:b w:val="0"/>
          <w:bCs w:val="0"/>
          <w:color w:val="292c2f"/>
          <w:highlight w:val="none"/>
          <w14:ligatures w14:val="none"/>
        </w:rPr>
        <w:t xml:space="preserve">конодательном уровне принципа «построил – оформи» и запрета на совершение сделок с участками без точных границ – что позволит сократить в ЕГРН долю незарегистрированных объектов, защитить право собственности владельцев недвижимости и избавить их от земельн</w:t>
      </w:r>
      <w:r>
        <w:rPr>
          <w:b w:val="0"/>
          <w:bCs w:val="0"/>
          <w:color w:val="292c2f"/>
          <w:highlight w:val="none"/>
          <w14:ligatures w14:val="none"/>
        </w:rPr>
        <w:t xml:space="preserve">ых споров.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</w:t>
      </w:r>
      <w:r>
        <w:rPr>
          <w:b w:val="0"/>
          <w:bCs w:val="0"/>
          <w:color w:val="292c2f"/>
          <w:highlight w:val="none"/>
          <w14:ligatures w14:val="none"/>
        </w:rPr>
        <w:t xml:space="preserve">ринятый закон о сроках освоения и признаках неиспользования земельных участков является реальным инструментом борьбы с заброшенными участками. Закон о передаче ППК «Роскадастр» полномочий по выполнению комплексных кадастровых работ федерального значения по</w:t>
      </w:r>
      <w:r>
        <w:rPr>
          <w:b w:val="0"/>
          <w:bCs w:val="0"/>
          <w:color w:val="292c2f"/>
          <w:highlight w:val="none"/>
          <w14:ligatures w14:val="none"/>
        </w:rPr>
        <w:t xml:space="preserve">зволит решить вопрос с внесением в ЕГРН границ земельных участков. Также среди ключевых – закон об обязательном использовании сведений цифровой платформы НСПД для оказания государственных и муниципальных услуг.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Хочу поблагодарить за командную работу депутатов и сенаторов, а также профильные департаменты Правительства РФ. Все принятые законы работают на благо людей и развитие экономики страны. Сегодня в работе у Росреестра 19 законодательных инициатив, которые мы </w:t>
      </w:r>
      <w:r>
        <w:rPr>
          <w:b w:val="0"/>
          <w:bCs w:val="0"/>
          <w:color w:val="292c2f"/>
          <w:highlight w:val="none"/>
          <w14:ligatures w14:val="none"/>
        </w:rPr>
        <w:t xml:space="preserve">планируем реализовать в этом году», - сказал Олег Скуфинский.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</w:t>
      </w:r>
      <w:r>
        <w:rPr>
          <w:b w:val="0"/>
          <w:bCs w:val="0"/>
          <w:color w:val="292c2f"/>
          <w:highlight w:val="none"/>
          <w14:ligatures w14:val="none"/>
        </w:rPr>
        <w:t xml:space="preserve">енатор Александр Двойных отметил законодательную работу ведомства и озвучил совместные планы на предстоящий период. «Качество законов, принятых по инициативе Росреестра, очень высокое. Мы говорим о смысловых законодательных изменениях, и самое главное, что</w:t>
      </w:r>
      <w:r>
        <w:rPr>
          <w:b w:val="0"/>
          <w:bCs w:val="0"/>
          <w:color w:val="292c2f"/>
          <w:highlight w:val="none"/>
          <w14:ligatures w14:val="none"/>
        </w:rPr>
        <w:t xml:space="preserve"> </w:t>
      </w:r>
      <w:r>
        <w:rPr>
          <w:b w:val="0"/>
          <w:bCs w:val="0"/>
          <w:color w:val="292c2f"/>
          <w:highlight w:val="none"/>
          <w14:ligatures w14:val="none"/>
        </w:rPr>
        <w:t xml:space="preserve">Служба не боится поднимать сложные чувствительные вопросы. В 2025 году предлагаем обратить внимание на закон о создании механизмов определения видов разрешенного использования земельных участков - важнейший вопрос, на решение которого потребовалось более 7</w:t>
      </w:r>
      <w:r>
        <w:rPr>
          <w:b w:val="0"/>
          <w:bCs w:val="0"/>
          <w:color w:val="292c2f"/>
          <w:highlight w:val="none"/>
          <w14:ligatures w14:val="none"/>
        </w:rPr>
        <w:t xml:space="preserve"> </w:t>
      </w:r>
      <w:r>
        <w:rPr>
          <w:b w:val="0"/>
          <w:bCs w:val="0"/>
          <w:color w:val="292c2f"/>
          <w:highlight w:val="none"/>
          <w14:ligatures w14:val="none"/>
        </w:rPr>
        <w:t xml:space="preserve">лет. Второй приоритет – закон о соразмерности земельных участков относительно расположенных на них строений. Сегодня насчитывается огромное количество судебных дел, уголовных дел, так как нет понятного критерия соразмерности участка и здания. Я благодарен,</w:t>
      </w:r>
      <w:r>
        <w:rPr>
          <w:b w:val="0"/>
          <w:bCs w:val="0"/>
          <w:color w:val="292c2f"/>
          <w:highlight w:val="none"/>
          <w14:ligatures w14:val="none"/>
        </w:rPr>
        <w:t xml:space="preserve"> что Служба взяла на себя такую ответственность и разработала этот законопроект. Наш комитет ведет активную дискуссию по данному вопросу. Рассчитываем в этом году завершить эту работу», - сказал он.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</w:t>
      </w:r>
      <w:r>
        <w:rPr>
          <w:b w:val="0"/>
          <w:bCs w:val="0"/>
          <w:color w:val="292c2f"/>
          <w:highlight w:val="none"/>
          <w14:ligatures w14:val="none"/>
        </w:rPr>
        <w:t xml:space="preserve">акже в ходе доклада Олег Скуфинский представил основные планы работы ведомства на ближайшую перспективу. «Среди приоритетов на 2025 год – увеличить число регионов-участников внедрения Единой цифровой платформы НСПД до 63 (сейчас 53), продолжить работу по с</w:t>
      </w:r>
      <w:r>
        <w:rPr>
          <w:b w:val="0"/>
          <w:bCs w:val="0"/>
          <w:color w:val="292c2f"/>
          <w:highlight w:val="none"/>
          <w14:ligatures w14:val="none"/>
        </w:rPr>
        <w:t xml:space="preserve">п</w:t>
      </w:r>
      <w:r>
        <w:rPr>
          <w:b w:val="0"/>
          <w:bCs w:val="0"/>
          <w:color w:val="292c2f"/>
          <w:highlight w:val="none"/>
          <w14:ligatures w14:val="none"/>
        </w:rPr>
        <w:t xml:space="preserve">лошной инвентаризации в новых регионах, на 80% внести в ЕГРН границы административно-территориальных образований и территориальных зон, а также внедрить по всей стране ФГИС ЕГРН 2.0 - это импортозамещенная система с повышенной отказоустойчивостью, которая </w:t>
      </w:r>
      <w:r>
        <w:rPr>
          <w:b w:val="0"/>
          <w:bCs w:val="0"/>
          <w:color w:val="292c2f"/>
          <w:highlight w:val="none"/>
          <w14:ligatures w14:val="none"/>
        </w:rPr>
        <w:t xml:space="preserve">также позволит сократить время обработки документов», - сказал глава ведомства.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числе других ключевых задач на 2025 год: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проработать вопрос импортозамещения оборудования в сфере геодезии и картографии;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завершить процесс федерализации полномочий на Крымском полуострове (новый порядок взаимодействия с территориальными органами Росреестра в Республике Крым и Севастополе начнет действовать с 1 января 2026 года);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ввод в эксплуатацию Геопортала инфраструктуры пространственных данных стран – участников СНГ.</w:t>
      </w:r>
      <w:r/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7. Новые регионы - экстерриториальность расширяется.</w:t>
      </w:r>
      <w:r>
        <w:rPr>
          <w:b/>
          <w:bCs/>
          <w:color w:val="292c2f"/>
          <w:highlight w:val="none"/>
        </w:rPr>
      </w:r>
      <w:r>
        <w:rPr>
          <w:b/>
          <w:bCs/>
          <w:color w:val="292c2f"/>
          <w:highlight w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О</w:t>
      </w:r>
      <w:r>
        <w:rPr>
          <w:b w:val="0"/>
          <w:bCs w:val="0"/>
          <w:color w:val="292c2f"/>
          <w:highlight w:val="none"/>
          <w14:ligatures w14:val="none"/>
        </w:rPr>
        <w:t xml:space="preserve">бъём оказанных услуг на территории Донецкой и Луганской народных республик, Запорожской и Херсонской областей вырос в 4,5 раза по сравнению с 2023 годом и составил около 3 млн. Для разгрузки и минимизации очередей в МФЦ с сентября 2024 года для жителей нов</w:t>
      </w:r>
      <w:r>
        <w:rPr>
          <w:b w:val="0"/>
          <w:bCs w:val="0"/>
          <w:color w:val="292c2f"/>
          <w:highlight w:val="none"/>
          <w14:ligatures w14:val="none"/>
        </w:rPr>
        <w:t xml:space="preserve">ых территорий обеспечена возможность получить основные услуги в электронном виде на Портале госуслуг. Среди них регистрация возникновения права собственности, внесение изменений в реестр прав, уточнение границ земельных участков и кадастровому учёту.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В ближайшее время для жителей новых территорий также выведем на Портал госуслуг самую популярную на текущий момент услугу – внесение сведений в ЕГРН о ранее учтенных объектах недвижимости. Также с учетом востребованности в ближайшее время будут открыты экс</w:t>
      </w:r>
      <w:r>
        <w:rPr>
          <w:b w:val="0"/>
          <w:bCs w:val="0"/>
          <w:color w:val="292c2f"/>
          <w:highlight w:val="none"/>
          <w14:ligatures w14:val="none"/>
        </w:rPr>
        <w:t xml:space="preserve">территориальные окна приема в МФЦ Краснодара и в Крыму. До конца года принцип экстерриториальной регистрации сделок по объектам, расположенным в новых регионах, будет реализован по всей стране», - отметил руководитель ведомства.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8. Геодезия и картография – сотрудничество с Госкорпорацией «Роскосмос».</w:t>
      </w:r>
      <w:r>
        <w:rPr>
          <w:b/>
          <w:bCs/>
          <w:color w:val="292c2f"/>
          <w:highlight w:val="none"/>
        </w:rPr>
      </w:r>
      <w:r>
        <w:rPr>
          <w:b/>
          <w:bCs/>
          <w:color w:val="292c2f"/>
          <w:highlight w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сфере картографии основным направлением является создание единой электронной картографической основы (ЕЭКО). По итогам 2024 года показатель ЕЭКО составил почти 72%.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</w:t>
      </w:r>
      <w:r>
        <w:rPr>
          <w:b w:val="0"/>
          <w:bCs w:val="0"/>
          <w:color w:val="292c2f"/>
          <w:highlight w:val="none"/>
          <w14:ligatures w14:val="none"/>
        </w:rPr>
        <w:t xml:space="preserve"> целях повышения картографического обеспечения территории страны Росреестр наращивает взаимодействие с Госкорпорацией «Роскосмос». По инициативе ведомства, поддержанной Председателем Правительства РФ, в новом нацпроекте «Развитие космической деятельности Р</w:t>
      </w:r>
      <w:r>
        <w:rPr>
          <w:b w:val="0"/>
          <w:bCs w:val="0"/>
          <w:color w:val="292c2f"/>
          <w:highlight w:val="none"/>
          <w14:ligatures w14:val="none"/>
        </w:rPr>
        <w:t xml:space="preserve">о</w:t>
      </w:r>
      <w:r>
        <w:rPr>
          <w:b w:val="0"/>
          <w:bCs w:val="0"/>
          <w:color w:val="292c2f"/>
          <w:highlight w:val="none"/>
          <w14:ligatures w14:val="none"/>
        </w:rPr>
        <w:t xml:space="preserve">ссийской Федерации на период до 2030 года и на перспективу до 2036 года» предусмотрена задача по разработке отечественных космических аппаратов дистанционного зондирования Земли с разрешением не хуже 0,2 м. Это позволит исключить риски, связанные с аэрофот</w:t>
      </w:r>
      <w:r>
        <w:rPr>
          <w:b w:val="0"/>
          <w:bCs w:val="0"/>
          <w:color w:val="292c2f"/>
          <w:highlight w:val="none"/>
          <w14:ligatures w14:val="none"/>
        </w:rPr>
        <w:t xml:space="preserve">осъемкой, в том числе пожарами, наводнениями, облачностью и т.д.</w:t>
      </w:r>
      <w:r/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9. Общественный совет при Росреестре.</w:t>
      </w:r>
      <w:r>
        <w:rPr>
          <w:b/>
          <w:bCs/>
          <w:color w:val="292c2f"/>
          <w:highlight w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</w:t>
      </w:r>
      <w:r>
        <w:rPr>
          <w:b w:val="0"/>
          <w:bCs w:val="0"/>
          <w:color w:val="292c2f"/>
          <w:highlight w:val="none"/>
          <w14:ligatures w14:val="none"/>
        </w:rPr>
        <w:t xml:space="preserve">редседатель Общественного совета при Росреестре Александр Каньшин подвел основные итоги работы совещательного органа за 2024 год. За отчетный период проведено 5 заседаний Совета, на которых проработаны вопросы по реализации госпрограммы НСПД, совершенствов</w:t>
      </w:r>
      <w:r>
        <w:rPr>
          <w:b w:val="0"/>
          <w:bCs w:val="0"/>
          <w:color w:val="292c2f"/>
          <w:highlight w:val="none"/>
          <w14:ligatures w14:val="none"/>
        </w:rPr>
        <w:t xml:space="preserve">анию законодательства, а также взаимодействию Росреестра с кредитными организациями и СРО. По их результатам Росреестру и членам Совета даны 56 различных рекомендаций.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Взаимодействие с Общественным советом помогает ведомству оперативно реагировать на актуальные запросы общества, предупреждать возможные риски. Активно работают комиссии Совета. В 2025 году продолжаем диалог с профессионалами рынка недвижимости, в том числе</w:t>
      </w:r>
      <w:r>
        <w:rPr>
          <w:b w:val="0"/>
          <w:bCs w:val="0"/>
          <w:color w:val="292c2f"/>
          <w:highlight w:val="none"/>
          <w14:ligatures w14:val="none"/>
        </w:rPr>
        <w:t xml:space="preserve"> </w:t>
      </w:r>
      <w:r>
        <w:rPr>
          <w:b w:val="0"/>
          <w:bCs w:val="0"/>
          <w:color w:val="292c2f"/>
          <w:highlight w:val="none"/>
          <w14:ligatures w14:val="none"/>
        </w:rPr>
        <w:t xml:space="preserve">в части электронного взаимодействия с ПАО «Газпром». Ведется работа по обсуждению законопроекта «О регулировании риэлтерской деятельности в Российской Федерации». Большая работа по патриотическому воспитанию осуществляется в рамках комиссии по сохранению т</w:t>
      </w:r>
      <w:r>
        <w:rPr>
          <w:b w:val="0"/>
          <w:bCs w:val="0"/>
          <w:color w:val="292c2f"/>
          <w:highlight w:val="none"/>
          <w14:ligatures w14:val="none"/>
        </w:rPr>
        <w:t xml:space="preserve">радиционных российских духовно-нравственных ценностей. В честь 80-летия Великой Победы в июне планируется выезд членов совета вместе с руководством Росреестра в город Ржев по местам боевой славы воинов», - сказал Александр Каньшин.</w:t>
      </w:r>
      <w:r/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</w:t>
      </w:r>
      <w:r>
        <w:rPr>
          <w:b w:val="0"/>
          <w:bCs w:val="0"/>
          <w:color w:val="292c2f"/>
          <w:highlight w:val="none"/>
          <w14:ligatures w14:val="none"/>
        </w:rPr>
        <w:t xml:space="preserve">акже в ходе заседания заместитель руководителя Росреестра Максим Смирнов и генеральный директор ППК «Роскадастр» Владислав Жданов представили доклады об исполнении решений заседания коллегии Росреестра от 9 августа 2024 года и актуальных задачах на 2025 го</w:t>
      </w:r>
      <w:r>
        <w:rPr>
          <w:b w:val="0"/>
          <w:bCs w:val="0"/>
          <w:color w:val="292c2f"/>
          <w:highlight w:val="none"/>
          <w14:ligatures w14:val="none"/>
        </w:rPr>
        <w:t xml:space="preserve">д.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10. </w:t>
      </w:r>
      <w:r>
        <w:rPr>
          <w:b/>
          <w:bCs/>
          <w:color w:val="292c2f"/>
        </w:rPr>
        <w:t xml:space="preserve">Росреестр и Ассоциация ветеранов СВО подписали соглашение о сотрудничестве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14:ligatures w14:val="none"/>
        </w:rPr>
        <w:t xml:space="preserve">З</w:t>
      </w:r>
      <w:r>
        <w:rPr>
          <w:b w:val="0"/>
          <w:bCs w:val="0"/>
          <w:color w:val="292c2f"/>
          <w14:ligatures w14:val="none"/>
        </w:rPr>
        <w:t xml:space="preserve">аместитель руководителя Росреестра Максим Смирнов и исполнительный директор Ассоциации ветеранов специальной военной операции (СВО) Дмитрий Афанасьев подписали соглашение о сотрудничестве. Церемония состоялась в рамках Всероссийских сборов Ассоциации к 80-</w:t>
      </w:r>
      <w:r>
        <w:rPr>
          <w:b w:val="0"/>
          <w:bCs w:val="0"/>
          <w:color w:val="292c2f"/>
          <w14:ligatures w14:val="none"/>
        </w:rPr>
        <w:t xml:space="preserve">летию Победы в Великой Отечественной войне.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14:ligatures w14:val="none"/>
        </w:rPr>
        <w:t xml:space="preserve">Согласно документу, стороны намерены развивать взаимодействие, направленное на поддержку участников специальной военной операции и членов их семей.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Росреестр в рамках своих компетенций оказывает всестороннюю поддержку участникам специальной военной операции. Для этой цели был разработан ведомственный план, учитывающий все возможные аспекты. Так, например, мы в приоритетном порядке рассматриваем заявле</w:t>
      </w:r>
      <w:r>
        <w:rPr>
          <w:b w:val="0"/>
          <w:bCs w:val="0"/>
          <w:color w:val="292c2f"/>
          <w:highlight w:val="none"/>
          <w14:ligatures w14:val="none"/>
        </w:rPr>
        <w:t xml:space="preserve">н</w:t>
      </w:r>
      <w:r>
        <w:rPr>
          <w:b w:val="0"/>
          <w:bCs w:val="0"/>
          <w:color w:val="292c2f"/>
          <w:highlight w:val="none"/>
          <w14:ligatures w14:val="none"/>
        </w:rPr>
        <w:t xml:space="preserve">ия на осуществление учётно-регистрационных действий, помогаем восстановить правоустанавливающие документы, а также предусмотрели ряд льгот и скидок на наши услуги. В рамках подписанного соглашения в каждом территориальном органе ведомства будет организован</w:t>
      </w:r>
      <w:r>
        <w:rPr>
          <w:b w:val="0"/>
          <w:bCs w:val="0"/>
          <w:color w:val="292c2f"/>
          <w:highlight w:val="none"/>
          <w14:ligatures w14:val="none"/>
        </w:rPr>
        <w:t xml:space="preserve">о «Единое окно», позволяющее участникам СВО и их семьям оперативно получить консультационную и методическую помощь по вопросам, касающимся сферы земли и недвижимости», - отметил Максим Смирнов.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рамках соглашения предусмотрено оказание взаимной организационной, методической и консультативной помощи, проведение совещаний и рабочих встреч, а также организация совместных публичных мероприятий для целевых аудиторий.</w:t>
      </w:r>
      <w:r/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А</w:t>
      </w:r>
      <w:r>
        <w:rPr>
          <w:b w:val="0"/>
          <w:bCs w:val="0"/>
          <w:color w:val="292c2f"/>
          <w:highlight w:val="none"/>
          <w14:ligatures w14:val="none"/>
        </w:rPr>
        <w:t xml:space="preserve">ссоциация ветеранов СВО создана по инициативе ветеранов СВО и при поддержке крупнейших ветеранских организаций Российской Федерации. Она объединяет организации ветеранов спецоперации со всей страны. Цель Ассоциации – консолидация участников специальной вое</w:t>
      </w:r>
      <w:r>
        <w:rPr>
          <w:b w:val="0"/>
          <w:bCs w:val="0"/>
          <w:color w:val="292c2f"/>
          <w:highlight w:val="none"/>
          <w14:ligatures w14:val="none"/>
        </w:rPr>
        <w:t xml:space="preserve">нной операции и их общественных объединений для защиты прав, представления законных интересов, вовлечения участников СВО в общественную жизнь страны и патриотическое воспитание граждан.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11.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  <w:highlight w:val="none"/>
          <w14:ligatures w14:val="none"/>
        </w:rPr>
        <w:t xml:space="preserve">Росреестр на ПМЮФ-2025 провел панельную дискуссию о том, как искусственный интеллект меняет рынок недвижимости.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рамках XIII Петербургского международного юридического форума (ПМЮФ) Росреестр провел панельную дискуссию «Развитие современных информационных технологий в сфере управления землей и недвижимостью». Ведущие эксперты из органов государственной власти, проф</w:t>
      </w:r>
      <w:r>
        <w:rPr>
          <w:b w:val="0"/>
          <w:bCs w:val="0"/>
          <w:color w:val="292c2f"/>
          <w:highlight w:val="none"/>
          <w14:ligatures w14:val="none"/>
        </w:rPr>
        <w:t xml:space="preserve">ессиональных сообществ и бизнеса обсудили ключевые аспекты цифровой трансформации отрасли, роль искусственного интеллекта и перспективы внедрения инноваций.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Модератором дискуссии выступил статс-секретарь – заместитель руководителя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Алексей Бутовецкий</w:t>
      </w:r>
      <w:r>
        <w:rPr>
          <w:b w:val="0"/>
          <w:bCs w:val="0"/>
          <w:color w:val="292c2f"/>
          <w:highlight w:val="none"/>
          <w14:ligatures w14:val="none"/>
        </w:rPr>
        <w:t xml:space="preserve">. Спикерами мероприятия стали Президент Федеральной нотариальной палаты </w:t>
      </w:r>
      <w:r>
        <w:rPr>
          <w:b w:val="0"/>
          <w:bCs w:val="0"/>
          <w:color w:val="292c2f"/>
          <w:highlight w:val="none"/>
          <w14:ligatures w14:val="none"/>
        </w:rPr>
        <w:t xml:space="preserve">Константин Корсик,</w:t>
      </w:r>
      <w:r>
        <w:rPr>
          <w:b w:val="0"/>
          <w:bCs w:val="0"/>
          <w:color w:val="292c2f"/>
          <w:highlight w:val="none"/>
          <w14:ligatures w14:val="none"/>
        </w:rPr>
        <w:t xml:space="preserve"> директор юридического департамента «Домклик» ПАО Сбербанк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Алена Уварова,</w:t>
      </w:r>
      <w:r>
        <w:rPr>
          <w:b w:val="0"/>
          <w:bCs w:val="0"/>
          <w:color w:val="292c2f"/>
          <w:highlight w:val="none"/>
          <w14:ligatures w14:val="none"/>
        </w:rPr>
        <w:t xml:space="preserve"> Министр земельных и имущественных отношений Республики Татарстан </w:t>
      </w:r>
      <w:r>
        <w:rPr>
          <w:b w:val="0"/>
          <w:bCs w:val="0"/>
          <w:color w:val="292c2f"/>
          <w:highlight w:val="none"/>
          <w14:ligatures w14:val="none"/>
        </w:rPr>
        <w:t xml:space="preserve">Азат Кадыров</w:t>
      </w:r>
      <w:r>
        <w:rPr>
          <w:b w:val="0"/>
          <w:bCs w:val="0"/>
          <w:color w:val="292c2f"/>
          <w:highlight w:val="none"/>
          <w14:ligatures w14:val="none"/>
        </w:rPr>
        <w:t xml:space="preserve">, Министр имущественных отношений Московской области </w:t>
      </w:r>
      <w:r>
        <w:rPr>
          <w:b w:val="0"/>
          <w:bCs w:val="0"/>
          <w:color w:val="292c2f"/>
          <w:highlight w:val="none"/>
          <w14:ligatures w14:val="none"/>
        </w:rPr>
        <w:t xml:space="preserve">Тихон Фирсов, </w:t>
      </w:r>
      <w:r>
        <w:rPr>
          <w:b w:val="0"/>
          <w:bCs w:val="0"/>
          <w:color w:val="292c2f"/>
          <w:highlight w:val="none"/>
          <w14:ligatures w14:val="none"/>
        </w:rPr>
        <w:t xml:space="preserve">вице-президент по работе с органами государственной власти и корпоративным отношениям ПАО «ПИК-специализированный застройщик» </w:t>
      </w:r>
      <w:r>
        <w:rPr>
          <w:b w:val="0"/>
          <w:bCs w:val="0"/>
          <w:color w:val="292c2f"/>
          <w:highlight w:val="none"/>
          <w14:ligatures w14:val="none"/>
        </w:rPr>
        <w:t xml:space="preserve">Дмитрий Тимофеев</w:t>
      </w:r>
      <w:r>
        <w:rPr>
          <w:b w:val="0"/>
          <w:bCs w:val="0"/>
          <w:color w:val="292c2f"/>
          <w:highlight w:val="none"/>
          <w14:ligatures w14:val="none"/>
        </w:rPr>
        <w:t xml:space="preserve">,</w:t>
      </w:r>
      <w:r>
        <w:rPr>
          <w:b w:val="0"/>
          <w:bCs w:val="0"/>
          <w:color w:val="292c2f"/>
          <w:highlight w:val="none"/>
          <w14:ligatures w14:val="none"/>
        </w:rPr>
        <w:t xml:space="preserve"> </w:t>
      </w:r>
      <w:r>
        <w:rPr>
          <w:b w:val="0"/>
          <w:bCs w:val="0"/>
          <w:color w:val="292c2f"/>
          <w:highlight w:val="none"/>
          <w14:ligatures w14:val="none"/>
        </w:rPr>
        <w:t xml:space="preserve">заведующий кафедрой обязательственного права Исследовательского центра частного права имени С.С. Алексеева при Президенте РФ</w:t>
      </w:r>
      <w:r>
        <w:rPr>
          <w:b w:val="0"/>
          <w:bCs w:val="0"/>
          <w:color w:val="292c2f"/>
          <w:highlight w:val="none"/>
          <w14:ligatures w14:val="none"/>
        </w:rPr>
        <w:t xml:space="preserve"> Михаил Церковников</w:t>
      </w:r>
      <w:r>
        <w:rPr>
          <w:b w:val="0"/>
          <w:bCs w:val="0"/>
          <w:color w:val="292c2f"/>
          <w:highlight w:val="none"/>
          <w14:ligatures w14:val="none"/>
        </w:rPr>
        <w:t xml:space="preserve"> и проректор по научной работе, заведующий кафедрой земельного, градостроительного и экологического права ФГБОУ ВО «Уральский государственный юридический университет имени В.Ф. Яковлева» </w:t>
      </w:r>
      <w:r>
        <w:rPr>
          <w:b w:val="0"/>
          <w:bCs w:val="0"/>
          <w:color w:val="292c2f"/>
          <w:highlight w:val="none"/>
          <w14:ligatures w14:val="none"/>
        </w:rPr>
        <w:t xml:space="preserve">Андрей Винницкий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Открывая дискуссию,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Алексей Бутовецкий</w:t>
      </w:r>
      <w:r>
        <w:rPr>
          <w:b w:val="0"/>
          <w:bCs w:val="0"/>
          <w:color w:val="292c2f"/>
          <w:highlight w:val="none"/>
          <w14:ligatures w14:val="none"/>
        </w:rPr>
        <w:t xml:space="preserve"> подчеркнул значимость цифровизации для повышения эффективности государственных услуг в сфере земли и недвижимости. Он отметил, что за последние 20 лет Росреестр совершил колоссальный «цифровой» рывок – от длинных очередей до автоматизации всех процессов, </w:t>
      </w:r>
      <w:r>
        <w:rPr>
          <w:b w:val="0"/>
          <w:bCs w:val="0"/>
          <w:color w:val="292c2f"/>
          <w:highlight w:val="none"/>
          <w14:ligatures w14:val="none"/>
        </w:rPr>
        <w:t xml:space="preserve">когда запросы обрабатываются за считанные секунды. Начиная с 2020 года, доля электронных услуг увеличилась в 3 раза, до 60%, а доля электронной ипотеки выросла почти в 9 раз – до 84%. Сегодня ведомство оказывает более 407 млн услуг ежегодно, это порядка 15</w:t>
      </w:r>
      <w:r>
        <w:rPr>
          <w:b w:val="0"/>
          <w:bCs w:val="0"/>
          <w:color w:val="292c2f"/>
          <w:highlight w:val="none"/>
          <w14:ligatures w14:val="none"/>
        </w:rPr>
        <w:t xml:space="preserve"> операций в секунду.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Сегодня мы не можем позволить себе роскошь долгого личного общения с заявителями. Все должно быть быстро, точно и в установленные сроки. Некоторые услуги стали настолько автоматизированы, что мы их практически не замечаем. Например, получение выписки из ЕГ</w:t>
      </w:r>
      <w:r>
        <w:rPr>
          <w:b w:val="0"/>
          <w:bCs w:val="0"/>
          <w:color w:val="292c2f"/>
          <w:highlight w:val="none"/>
          <w14:ligatures w14:val="none"/>
        </w:rPr>
        <w:t xml:space="preserve">РН занимает всего несколько секунд. Всего 20 лет прошло, но изменения колоссальные. Однако, несмотря на успехи технологий, человеческий потенциал остается незаменимым</w:t>
      </w:r>
      <w:r>
        <w:rPr>
          <w:b w:val="0"/>
          <w:bCs w:val="0"/>
          <w:color w:val="292c2f"/>
          <w:highlight w:val="none"/>
          <w14:ligatures w14:val="none"/>
        </w:rPr>
        <w:t xml:space="preserve">», - отметил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Алексей Бутовецкий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Константин Корсик </w:t>
      </w:r>
      <w:r>
        <w:rPr>
          <w:b w:val="0"/>
          <w:bCs w:val="0"/>
          <w:color w:val="292c2f"/>
          <w:highlight w:val="none"/>
          <w14:ligatures w14:val="none"/>
        </w:rPr>
        <w:t xml:space="preserve">подчеркнул важную роль нотариата в обеспечении правовой безопасности граждан и организаций. «</w:t>
      </w:r>
      <w:r>
        <w:rPr>
          <w:b w:val="0"/>
          <w:bCs w:val="0"/>
          <w:color w:val="292c2f"/>
          <w:highlight w:val="none"/>
          <w14:ligatures w14:val="none"/>
        </w:rPr>
        <w:t xml:space="preserve">Нотариусы лежат в самой основополагающей части правовой системы. Самые надежные документы в Росреестр поступают от нотариусов. Сегодня права по нотариально удостоверенным документам регистрируются всего за 4 часа. Это стало возможным благодаря совместным у</w:t>
      </w:r>
      <w:r>
        <w:rPr>
          <w:b w:val="0"/>
          <w:bCs w:val="0"/>
          <w:color w:val="292c2f"/>
          <w:highlight w:val="none"/>
          <w14:ligatures w14:val="none"/>
        </w:rPr>
        <w:t xml:space="preserve">силиям Росреестра и Федеральной нотариальной палаты по активному внедрению современных технологий. Мы внедряем дистанционные сделки и переводим документы в электронный вид. Например, вы можете удостоверить доверенность у одного нотариуса, перевести её в эл</w:t>
      </w:r>
      <w:r>
        <w:rPr>
          <w:b w:val="0"/>
          <w:bCs w:val="0"/>
          <w:color w:val="292c2f"/>
          <w:highlight w:val="none"/>
          <w14:ligatures w14:val="none"/>
        </w:rPr>
        <w:t xml:space="preserve">ектронный формат и направить в другой регион. Там другой нотариус выдаст её вашему поверенному в электронном или бумажном виде, сохраняя юридическую силу. Еще несколько лет назад такой результат было невозможно представить</w:t>
      </w:r>
      <w:r>
        <w:rPr>
          <w:b w:val="0"/>
          <w:bCs w:val="0"/>
          <w:color w:val="292c2f"/>
          <w:highlight w:val="none"/>
          <w14:ligatures w14:val="none"/>
        </w:rPr>
        <w:t xml:space="preserve">», - заявил он.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Он также выразил скептицизм в отношении прогнозов о полной замене человеческого труда искусственным интеллектом. По его мнению, главная цель цифровизации - упростить процессы для граждан.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Алена Уварова</w:t>
      </w:r>
      <w:r>
        <w:rPr>
          <w:b w:val="0"/>
          <w:bCs w:val="0"/>
          <w:color w:val="292c2f"/>
          <w:highlight w:val="none"/>
          <w14:ligatures w14:val="none"/>
        </w:rPr>
        <w:t xml:space="preserve"> отметила высокие результаты в области регистрации электронных сделок. По ее словам, тесное сотрудничество бизнеса и Росреестра упростило клиентский путь, повысило защиту прав граждан и увеличило эффективность госуправления. Если в 2015 году электронная ре</w:t>
      </w:r>
      <w:r>
        <w:rPr>
          <w:b w:val="0"/>
          <w:bCs w:val="0"/>
          <w:color w:val="292c2f"/>
          <w:highlight w:val="none"/>
          <w14:ligatures w14:val="none"/>
        </w:rPr>
        <w:t xml:space="preserve">гистрация была прорывом, то сегодня 95% сделок проходят онлайн, а для договоров долевого участия это обязательная норма. На всех этапах работы сервиса «Домклик» применяется искусственный интеллект. С его помощью за секунды обрабатывается 55% клиентских зап</w:t>
      </w:r>
      <w:r>
        <w:rPr>
          <w:b w:val="0"/>
          <w:bCs w:val="0"/>
          <w:color w:val="292c2f"/>
          <w:highlight w:val="none"/>
          <w14:ligatures w14:val="none"/>
        </w:rPr>
        <w:t xml:space="preserve">росов без участия человека. Также искусственный интеллект дает релевантную оценку рыночной стоимости недвижимости для сделок, аренды и управления объектами.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то же время спикер подчеркнула, что актуальной задачей остается определение способов адаптации р</w:t>
      </w:r>
      <w:r>
        <w:rPr>
          <w:b w:val="0"/>
          <w:bCs w:val="0"/>
          <w:color w:val="292c2f"/>
          <w:highlight w:val="none"/>
          <w14:ligatures w14:val="none"/>
        </w:rPr>
        <w:t xml:space="preserve">егуляторной среды к стремительно развивающимся технологиям. </w:t>
      </w:r>
      <w:r>
        <w:rPr>
          <w:b w:val="0"/>
          <w:bCs w:val="0"/>
          <w:color w:val="292c2f"/>
          <w:highlight w:val="none"/>
          <w14:ligatures w14:val="none"/>
        </w:rPr>
        <w:t xml:space="preserve">«У нас есть положительный опыт пилотирования сервиса по оценке недвижимости искусственным интеллектом в регулятивной «песочнице» Банка России. Сейчас мы выходим на этап продолжения этого пилотирования в рамках экспериментальных правовых режимов. Но регулят</w:t>
      </w:r>
      <w:r>
        <w:rPr>
          <w:b w:val="0"/>
          <w:bCs w:val="0"/>
          <w:color w:val="292c2f"/>
          <w:highlight w:val="none"/>
          <w14:ligatures w14:val="none"/>
        </w:rPr>
        <w:t xml:space="preserve">ивная среда не всегда проактивно реагирует на темпы технологического развития. Здесь важно обратиться ко всем профессиональным сообществам, включая государственные органы, чтобы совместными усилиями формировать правильную регуляторную среду»,</w:t>
      </w:r>
      <w:r>
        <w:rPr>
          <w:b w:val="0"/>
          <w:bCs w:val="0"/>
          <w:color w:val="292c2f"/>
          <w:highlight w:val="none"/>
          <w14:ligatures w14:val="none"/>
        </w:rPr>
        <w:t xml:space="preserve"> - сказала </w:t>
      </w:r>
      <w:r>
        <w:rPr>
          <w:b w:val="0"/>
          <w:bCs w:val="0"/>
          <w:color w:val="292c2f"/>
          <w:highlight w:val="none"/>
          <w14:ligatures w14:val="none"/>
        </w:rPr>
        <w:t xml:space="preserve">директор юридического департамента «Домклик» ПАО Сбербанк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Тихон Фирсов</w:t>
      </w:r>
      <w:r>
        <w:rPr>
          <w:b w:val="0"/>
          <w:bCs w:val="0"/>
          <w:color w:val="292c2f"/>
          <w:highlight w:val="none"/>
          <w14:ligatures w14:val="none"/>
        </w:rPr>
        <w:t xml:space="preserve"> поделился на дискуссии опытом работы по вовлечению незарегистрированной недвижимости в налоговый оборот с помощью использования современных технологий. По его словам, сегодня в ЕГРН содержатся данные более чем о 13,6 млн объектах недвижимости на территори</w:t>
      </w:r>
      <w:r>
        <w:rPr>
          <w:b w:val="0"/>
          <w:bCs w:val="0"/>
          <w:color w:val="292c2f"/>
          <w:highlight w:val="none"/>
          <w14:ligatures w14:val="none"/>
        </w:rPr>
        <w:t xml:space="preserve">и Подмосковья, что составляет 10% всей недвижимости России. При этом в налоговой базе отсутствуют сведения о более 2,7 млн объектах.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«Искать недвижимость без прав сложно, так как в реестре нет координат 86% зданий и 24% земельных участков. Такая проблема существует именно потому, что регистрация права собственности у нас была правом и только с этого года стала обязанностью. Ежегодно мы </w:t>
      </w:r>
      <w:r>
        <w:rPr>
          <w:b w:val="0"/>
          <w:bCs w:val="0"/>
          <w:color w:val="292c2f"/>
          <w:highlight w:val="none"/>
          <w14:ligatures w14:val="none"/>
        </w:rPr>
        <w:t xml:space="preserve">выявляем не менее 200 тыс. объектов без прав и параллельно реализуем меры стимулирования регистрации. Так как сегодня искусственный интеллект применяется во многих сферах деятельности, используем его в своей работе и мы, что позволяет получать актуальные и</w:t>
      </w:r>
      <w:r>
        <w:rPr>
          <w:b w:val="0"/>
          <w:bCs w:val="0"/>
          <w:color w:val="292c2f"/>
          <w:highlight w:val="none"/>
          <w14:ligatures w14:val="none"/>
        </w:rPr>
        <w:t xml:space="preserve"> точные данные о состоянии местности. Это применение ортофотоплана в областной геоинформационной системе и в целом автоматизация всех процессов. В планах сделать так, чтобы совсем исключить человеческий фактор, отказаться от выездных обследований, что знач</w:t>
      </w:r>
      <w:r>
        <w:rPr>
          <w:b w:val="0"/>
          <w:bCs w:val="0"/>
          <w:color w:val="292c2f"/>
          <w:highlight w:val="none"/>
          <w14:ligatures w14:val="none"/>
        </w:rPr>
        <w:t xml:space="preserve">ительно облегчит труд нашим сотрудникам, которые не будут тратить время на рутинные операции»,</w:t>
      </w:r>
      <w:r>
        <w:rPr>
          <w:b w:val="0"/>
          <w:bCs w:val="0"/>
          <w:color w:val="292c2f"/>
          <w:highlight w:val="none"/>
          <w14:ligatures w14:val="none"/>
        </w:rPr>
        <w:t xml:space="preserve"> - сказал </w:t>
      </w:r>
      <w:r>
        <w:rPr>
          <w:b w:val="0"/>
          <w:bCs w:val="0"/>
          <w:color w:val="292c2f"/>
          <w:highlight w:val="none"/>
          <w14:ligatures w14:val="none"/>
        </w:rPr>
        <w:t xml:space="preserve">министр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Министр земельных и имущественных отношений Республики Татарстан </w:t>
      </w:r>
      <w:r>
        <w:rPr>
          <w:b w:val="0"/>
          <w:bCs w:val="0"/>
          <w:color w:val="292c2f"/>
          <w:highlight w:val="none"/>
          <w14:ligatures w14:val="none"/>
        </w:rPr>
        <w:t xml:space="preserve">Азат Кадыров</w:t>
      </w:r>
      <w:r>
        <w:rPr>
          <w:b w:val="0"/>
          <w:bCs w:val="0"/>
          <w:color w:val="292c2f"/>
          <w:highlight w:val="none"/>
          <w14:ligatures w14:val="none"/>
        </w:rPr>
        <w:t xml:space="preserve"> рассказал об успешном опыте внедрения в Республике Татарстан Национальной системы пространственных данных (НСПД) и использовании технологий искусственного интеллекта (ИИ) в государственном управлении. В НСПД интегрированы четыре информационные системы рес</w:t>
      </w:r>
      <w:r>
        <w:rPr>
          <w:b w:val="0"/>
          <w:bCs w:val="0"/>
          <w:color w:val="292c2f"/>
          <w:highlight w:val="none"/>
          <w14:ligatures w14:val="none"/>
        </w:rPr>
        <w:t xml:space="preserve">публики: Комплексная муниципальная геоинформационная система Казани, ГИС «Экологическая карта РТ», ГИС «Обеспечения градостроительной деятельности РТ» и Геопортал Республики Татарстан. Всего в НСПД на территории региона перенесено 39 слоев пространственных</w:t>
      </w:r>
      <w:r>
        <w:rPr>
          <w:b w:val="0"/>
          <w:bCs w:val="0"/>
          <w:color w:val="292c2f"/>
          <w:highlight w:val="none"/>
          <w14:ligatures w14:val="none"/>
        </w:rPr>
        <w:t xml:space="preserve"> данных, что позволило автоматизировать передачу информации и значительно упростить работу с объектами недвижимости.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Сегодня 99% объектов имеют оформленные права, а бюджетные поступления от этих объектов составляют около полумиллиарда рублей в год. Кроме того, благодаря НСПД удалось завершить установление границ с восемью субъектами РФ, определить 956 границ муниципальны</w:t>
      </w:r>
      <w:r>
        <w:rPr>
          <w:b w:val="0"/>
          <w:bCs w:val="0"/>
          <w:color w:val="292c2f"/>
          <w:highlight w:val="none"/>
          <w14:ligatures w14:val="none"/>
        </w:rPr>
        <w:t xml:space="preserve">х образований, 234 береговые линии и множество других территориальных зон. Устранены реестровые ошибки для 50 тысяч объектов недвижимости, что значительно повысило качество данных и уточнило границы</w:t>
      </w:r>
      <w:r>
        <w:rPr>
          <w:b w:val="0"/>
          <w:bCs w:val="0"/>
          <w:color w:val="292c2f"/>
          <w:highlight w:val="none"/>
          <w14:ligatures w14:val="none"/>
        </w:rPr>
        <w:t xml:space="preserve">», - отметил министр.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Сегодня Татарстан активно развивает технологии ИИ для повышения эффективности работы государственных служащих. В 2022 году был принят нормативно-правовой акт, регулирующий использование ИИ в органах власти. Порядка 1,5 тысячи сотрудн</w:t>
      </w:r>
      <w:r>
        <w:rPr>
          <w:b w:val="0"/>
          <w:bCs w:val="0"/>
          <w:color w:val="292c2f"/>
          <w:highlight w:val="none"/>
          <w14:ligatures w14:val="none"/>
        </w:rPr>
        <w:t xml:space="preserve">иков органов власти Республики Татарстан уже используют специальный сервис «ГосПромт» на основе ИИ в своей работе. По словам министра, целевой показатель по РТ на 2026 год: 60% задач каждого госслужащего Татарстана должно выполняться на 40% быстрее и качес</w:t>
      </w:r>
      <w:r>
        <w:rPr>
          <w:b w:val="0"/>
          <w:bCs w:val="0"/>
          <w:color w:val="292c2f"/>
          <w:highlight w:val="none"/>
          <w14:ligatures w14:val="none"/>
        </w:rPr>
        <w:t xml:space="preserve">твеннее.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Михаил Церковников</w:t>
      </w:r>
      <w:r>
        <w:rPr>
          <w:b w:val="0"/>
          <w:bCs w:val="0"/>
          <w:color w:val="292c2f"/>
          <w:highlight w:val="none"/>
          <w14:ligatures w14:val="none"/>
        </w:rPr>
        <w:t xml:space="preserve">, заведующий кафедрой обязательственного права Исследовательского центра частного права имени С.С. Алексеева при Президенте РФ, рассказал о возможностях искусственного интеллекта при выявлении нарушений земельного законодательства. «</w:t>
      </w:r>
      <w:r>
        <w:rPr>
          <w:b w:val="0"/>
          <w:bCs w:val="0"/>
          <w:color w:val="292c2f"/>
          <w:highlight w:val="none"/>
          <w14:ligatures w14:val="none"/>
        </w:rPr>
        <w:t xml:space="preserve">Люди часто начинают строить, не осознавая, что нарушают закон. Физически невозможно обеспечить контроль за каждым объектом, но новые технологии могут изменить ситуацию. Сегодня аэрофотосъемка и космические снимки активно используются в судебной практике по</w:t>
      </w:r>
      <w:r>
        <w:rPr>
          <w:b w:val="0"/>
          <w:bCs w:val="0"/>
          <w:color w:val="292c2f"/>
          <w:highlight w:val="none"/>
          <w14:ligatures w14:val="none"/>
        </w:rPr>
        <w:t xml:space="preserve"> статье 222 ГК РФ. Однако настоящий прорыв произойдет, когда мониторинг станет ежедневным и автоматизированным. Беспилотники и ИИ смогут выявлять нарушения на этапе фундамента, предупреждая масштабные проблемы</w:t>
      </w:r>
      <w:r>
        <w:rPr>
          <w:b w:val="0"/>
          <w:bCs w:val="0"/>
          <w:color w:val="292c2f"/>
          <w:highlight w:val="none"/>
          <w14:ligatures w14:val="none"/>
        </w:rPr>
        <w:t xml:space="preserve">», - сказал он.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Андрей Винницкий</w:t>
      </w:r>
      <w:r>
        <w:rPr>
          <w:b w:val="0"/>
          <w:bCs w:val="0"/>
          <w:color w:val="292c2f"/>
          <w:highlight w:val="none"/>
          <w14:ligatures w14:val="none"/>
        </w:rPr>
        <w:t xml:space="preserve"> выступил с анализом ключевых вопросов цифровой трансформации в сфере правосудия и управления земельными ресурсами. По его словам, современные суды все чаще используют цифровые инструменты, к примеру, публичную кадастровую карту, космические снимки, чтобы </w:t>
      </w:r>
      <w:r>
        <w:rPr>
          <w:b w:val="0"/>
          <w:bCs w:val="0"/>
          <w:color w:val="292c2f"/>
          <w:highlight w:val="none"/>
          <w14:ligatures w14:val="none"/>
        </w:rPr>
        <w:t xml:space="preserve">проверить доводы сторон и оценить доказательства. Однако, несмотря на прогресс, процессуальное законодательство нуждается в совершенствовании. Особое внимание эксперт уделил статье 59 Кодекса административного судопроизводства РФ, разрешающей судам использ</w:t>
      </w:r>
      <w:r>
        <w:rPr>
          <w:b w:val="0"/>
          <w:bCs w:val="0"/>
          <w:color w:val="292c2f"/>
          <w:highlight w:val="none"/>
          <w14:ligatures w14:val="none"/>
        </w:rPr>
        <w:t xml:space="preserve">овать открытые информационные ресурсы. Аналогичные нормы пока отсутствуют в Арбитражном и Гражданском процессуальных кодексах.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«Мы видим, что суды уже де-факто используют эту практику: стороны вместе изучают данные из открытых источников. Это не элемент судебного сыска, а современный подход к проверке доказательств. Необходимо регламентировать эти процессы и расширить их применени</w:t>
      </w:r>
      <w:r>
        <w:rPr>
          <w:b w:val="0"/>
          <w:bCs w:val="0"/>
          <w:color w:val="292c2f"/>
          <w:highlight w:val="none"/>
          <w14:ligatures w14:val="none"/>
        </w:rPr>
        <w:t xml:space="preserve">е на другие виды судопроизводства»,</w:t>
      </w:r>
      <w:r>
        <w:rPr>
          <w:b w:val="0"/>
          <w:bCs w:val="0"/>
          <w:color w:val="292c2f"/>
          <w:highlight w:val="none"/>
          <w14:ligatures w14:val="none"/>
        </w:rPr>
        <w:t xml:space="preserve"> - подчеркнул проректор.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Дискуссия показала, что цифровизация открывает новые горизонты для управления землей и недвижимостью, но требует совместных усилий государства, бизнеса и профессиональных сообществ для создания эффективной и справедливой системы.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12.</w:t>
      </w:r>
      <w:r>
        <w:rPr>
          <w:b/>
          <w:bCs/>
          <w:color w:val="292c2f"/>
          <w:highlight w:val="none"/>
          <w14:ligatures w14:val="none"/>
        </w:rPr>
        <w:t xml:space="preserve"> </w:t>
      </w:r>
      <w:r>
        <w:rPr>
          <w:b/>
          <w:bCs/>
          <w:color w:val="292c2f"/>
          <w:highlight w:val="none"/>
          <w14:ligatures w14:val="none"/>
        </w:rPr>
        <w:t xml:space="preserve">KazanForum 2025: Росреестр определил перспективы международного геопространственного сотрудничества.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На полях XVI Международного экономического форума «Россия – Исламский мир: KazanForum 2025» Росреестр провел сессию «Геопространственное сотрудничество: перспективы для России и стран Исламского мира». Российские и зарубежные эксперты, представители органо</w:t>
      </w:r>
      <w:r>
        <w:rPr>
          <w:b w:val="0"/>
          <w:bCs w:val="0"/>
          <w:color w:val="292c2f"/>
          <w:highlight w:val="none"/>
          <w14:ligatures w14:val="none"/>
        </w:rPr>
        <w:t xml:space="preserve">в власти и профессионального сообщества обсудили реализацию национальных проектов по созданию инфраструктуры пространственных данных и планы взаимодействия в новых геоэкономических реалиях.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Заместитель руководителя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Татьяна Громова</w:t>
      </w:r>
      <w:r>
        <w:rPr>
          <w:b w:val="0"/>
          <w:bCs w:val="0"/>
          <w:color w:val="292c2f"/>
          <w:highlight w:val="none"/>
          <w14:ligatures w14:val="none"/>
        </w:rPr>
        <w:t xml:space="preserve"> рассказала о флагманских геоинформационных проектах ведомства - Единой цифровой платформе «Национальная система пространственных данных» (ЕЦП НСПД) и Геопортале инфраструктуры пространственных данных государств – участников СНГ. Работа над ними организова</w:t>
      </w:r>
      <w:r>
        <w:rPr>
          <w:b w:val="0"/>
          <w:bCs w:val="0"/>
          <w:color w:val="292c2f"/>
          <w:highlight w:val="none"/>
          <w14:ligatures w14:val="none"/>
        </w:rPr>
        <w:t xml:space="preserve">на в соответствии с поручениями Президента и Правительства РФ.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Выступая на полях форума, Заместитель Председателя Правительства РФ </w:t>
      </w:r>
      <w:r>
        <w:rPr>
          <w:b w:val="0"/>
          <w:bCs w:val="0"/>
          <w:color w:val="292c2f"/>
          <w:highlight w:val="none"/>
          <w14:ligatures w14:val="none"/>
        </w:rPr>
        <w:t xml:space="preserve">Марат Хуснуллин</w:t>
      </w:r>
      <w:r>
        <w:rPr>
          <w:b w:val="0"/>
          <w:bCs w:val="0"/>
          <w:color w:val="292c2f"/>
          <w:highlight w:val="none"/>
          <w14:ligatures w14:val="none"/>
        </w:rPr>
        <w:t xml:space="preserve"> отметил важность ЕЦП НСПД для территориального планирования и пространственного развития страны. По его словам, Национальная система пространственных данных объединяет 2 тыс. тематических слоёв в сфере геодезии, картографии, кадастра, землеустройства, гра</w:t>
      </w:r>
      <w:r>
        <w:rPr>
          <w:b w:val="0"/>
          <w:bCs w:val="0"/>
          <w:color w:val="292c2f"/>
          <w:highlight w:val="none"/>
          <w14:ligatures w14:val="none"/>
        </w:rPr>
        <w:t xml:space="preserve">достроительной деятельности, сельского хозяйства, транспорта и энергетики. В рамках наполнения единой информационной системы пространственными данными стоит задача по созданию 200 мастер-планов развития населённых пунктов, в которых проживает 75% населения</w:t>
      </w:r>
      <w:r>
        <w:rPr>
          <w:b w:val="0"/>
          <w:bCs w:val="0"/>
          <w:color w:val="292c2f"/>
          <w:highlight w:val="none"/>
          <w14:ligatures w14:val="none"/>
        </w:rPr>
        <w:t xml:space="preserve"> страны. Их создание поможет повысить качество жизни людей на 30% за шесть лет.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Согласно прогнозам международных экспертов, прямой экономический эффект от геопространственных технологий к 2030 году вырастет почти на 290%. При этом уже к концу 2025 года 40</w:t>
      </w:r>
      <w:r>
        <w:rPr>
          <w:b w:val="0"/>
          <w:bCs w:val="0"/>
          <w:color w:val="292c2f"/>
          <w:highlight w:val="none"/>
          <w14:ligatures w14:val="none"/>
        </w:rPr>
        <w:t xml:space="preserve">% рынка геопространственной информации будет приходиться на услуги на основе месторасположения и инфраструктуры.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«Развитие сферы пространственных данных в России и странах СНГ полностью соответствует этим трендам. Создание ЕЦП НСПД – это командная работа с регионами, и она идет опережающими темпами. По итогам 2024 года система внедрена в 53 регионах страны при планов</w:t>
      </w:r>
      <w:r>
        <w:rPr>
          <w:b w:val="0"/>
          <w:bCs w:val="0"/>
          <w:color w:val="292c2f"/>
          <w:highlight w:val="none"/>
          <w14:ligatures w14:val="none"/>
        </w:rPr>
        <w:t xml:space="preserve">ом значении 20. Сегодня на платформе объединены пространственные данные из 28 федеральных, 56 региональных и 4 частных информационных систем. Унификация информационных ресурсов и доступ к ним в режиме реального времени дает широкие перспективы управления т</w:t>
      </w:r>
      <w:r>
        <w:rPr>
          <w:b w:val="0"/>
          <w:bCs w:val="0"/>
          <w:color w:val="292c2f"/>
          <w:highlight w:val="none"/>
          <w14:ligatures w14:val="none"/>
        </w:rPr>
        <w:t xml:space="preserve">ерриториями, создает благоприятные условия для прогрессивного развития экономики и значительно улучшает качество жизни населения. С помощью удобных цифровых сервисов сегодня можно онлайн получить целый спектр услуг в сфере земли и недвижимости, а также исп</w:t>
      </w:r>
      <w:r>
        <w:rPr>
          <w:b w:val="0"/>
          <w:bCs w:val="0"/>
          <w:color w:val="292c2f"/>
          <w:highlight w:val="none"/>
          <w14:ligatures w14:val="none"/>
        </w:rPr>
        <w:t xml:space="preserve">ользовать картографическую подложку НСПД для проведения пространственного анализа», - </w:t>
      </w:r>
      <w:r>
        <w:rPr>
          <w:b w:val="0"/>
          <w:bCs w:val="0"/>
          <w:color w:val="292c2f"/>
          <w:highlight w:val="none"/>
          <w14:ligatures w14:val="none"/>
        </w:rPr>
        <w:t xml:space="preserve">сказала </w:t>
      </w:r>
      <w:r>
        <w:rPr>
          <w:b w:val="0"/>
          <w:bCs w:val="0"/>
          <w:color w:val="292c2f"/>
          <w:highlight w:val="none"/>
          <w14:ligatures w14:val="none"/>
        </w:rPr>
        <w:t xml:space="preserve">Татьяна Громова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Она также отметила, что в составе НСПД создана подсистема международного информационного взаимодействия, которая обеспечит использование открытых пространственных данных и сведений при создании геопортала СНГ и других международных проектов. В проекте г</w:t>
      </w:r>
      <w:r>
        <w:rPr>
          <w:b w:val="0"/>
          <w:bCs w:val="0"/>
          <w:color w:val="292c2f"/>
          <w:highlight w:val="none"/>
          <w14:ligatures w14:val="none"/>
        </w:rPr>
        <w:t xml:space="preserve">еопортала, помимо России, участвуют республики Армения, Беларусь, Казахстан, Киргизия, Таджикистан и Узбекистан. В данных странах сегодня необходимо организовать работу по сбору базовых и тематических пространственных данных и обеспечить их интеграцию с ге</w:t>
      </w:r>
      <w:r>
        <w:rPr>
          <w:b w:val="0"/>
          <w:bCs w:val="0"/>
          <w:color w:val="292c2f"/>
          <w:highlight w:val="none"/>
          <w14:ligatures w14:val="none"/>
        </w:rPr>
        <w:t xml:space="preserve">опорталом, подчеркнула </w:t>
      </w:r>
      <w:r>
        <w:rPr>
          <w:b w:val="0"/>
          <w:bCs w:val="0"/>
          <w:color w:val="292c2f"/>
          <w:highlight w:val="none"/>
          <w14:ligatures w14:val="none"/>
        </w:rPr>
        <w:t xml:space="preserve">Татьяна Громова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  <w:t xml:space="preserve">О реализации НСПД в Татарстане рассказал Первый заместитель Премьер-министра республики </w:t>
      </w:r>
      <w:r>
        <w:rPr>
          <w:b w:val="0"/>
          <w:bCs w:val="0"/>
          <w:color w:val="292c2f"/>
          <w:highlight w:val="none"/>
          <w14:ligatures w14:val="none"/>
        </w:rPr>
        <w:t xml:space="preserve">Рустам Нигматуллин</w:t>
      </w:r>
      <w:r>
        <w:rPr>
          <w:b w:val="0"/>
          <w:bCs w:val="0"/>
          <w:color w:val="292c2f"/>
          <w:highlight w:val="none"/>
          <w14:ligatures w14:val="none"/>
        </w:rPr>
        <w:t xml:space="preserve">. Татарстан одним из первых регионов подключился к данной работе и достиг значительного прогресса. «</w:t>
      </w:r>
      <w:r>
        <w:rPr>
          <w:b w:val="0"/>
          <w:bCs w:val="0"/>
          <w:color w:val="292c2f"/>
          <w:highlight w:val="none"/>
          <w14:ligatures w14:val="none"/>
        </w:rPr>
        <w:t xml:space="preserve">Созданные цифровые сервисы НСПД «Земля для стройки», «Земля для туризма», «Земля просто» существенно упрощают процедуры и повышают эффективность решения задач как для граждан, так и для бизнеса. Например, в рамках проекта «Земля для стройки» в республике в</w:t>
      </w:r>
      <w:r>
        <w:rPr>
          <w:b w:val="0"/>
          <w:bCs w:val="0"/>
          <w:color w:val="292c2f"/>
          <w:highlight w:val="none"/>
          <w14:ligatures w14:val="none"/>
        </w:rPr>
        <w:t xml:space="preserve">ыявлено около 3,5 тыс. земельных участков общей площадью свыше 3 тыс. га, что создает значительный потенциал для жилищного строительства. Реализация проекта способствует эффективному и гармоничному развитию территорий Татарстана</w:t>
      </w:r>
      <w:r>
        <w:rPr>
          <w:b w:val="0"/>
          <w:bCs w:val="0"/>
          <w:color w:val="292c2f"/>
          <w:highlight w:val="none"/>
          <w14:ligatures w14:val="none"/>
        </w:rPr>
        <w:t xml:space="preserve">», - считает </w:t>
      </w:r>
      <w:r>
        <w:rPr>
          <w:b w:val="0"/>
          <w:bCs w:val="0"/>
          <w:color w:val="292c2f"/>
          <w:highlight w:val="none"/>
          <w14:ligatures w14:val="none"/>
        </w:rPr>
        <w:t xml:space="preserve">Рустам Нигматуллин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Генеральный директор Национального картографического центра Исламской Республики Иран </w:t>
      </w:r>
      <w:r>
        <w:rPr>
          <w:b w:val="0"/>
          <w:bCs w:val="0"/>
          <w:color w:val="292c2f"/>
          <w:highlight w:val="none"/>
          <w14:ligatures w14:val="none"/>
        </w:rPr>
        <w:t xml:space="preserve">Сейдайи Сейед Эскандар</w:t>
      </w:r>
      <w:r>
        <w:rPr>
          <w:b w:val="0"/>
          <w:bCs w:val="0"/>
          <w:color w:val="292c2f"/>
          <w:highlight w:val="none"/>
          <w14:ligatures w14:val="none"/>
        </w:rPr>
        <w:t xml:space="preserve"> поделился опытом ведомства в сфере развития геопространственных технологий. «</w:t>
      </w:r>
      <w:r>
        <w:rPr>
          <w:b w:val="0"/>
          <w:bCs w:val="0"/>
          <w:color w:val="292c2f"/>
          <w:highlight w:val="none"/>
          <w14:ligatures w14:val="none"/>
        </w:rPr>
        <w:t xml:space="preserve">Сегодня мы видим, что геопространственные данные могут привести к экономическому росту и устойчивому развитию. Мы можем использовать их в качестве инструмента для процветания нашего народа»</w:t>
      </w:r>
      <w:r>
        <w:rPr>
          <w:b w:val="0"/>
          <w:bCs w:val="0"/>
          <w:color w:val="292c2f"/>
          <w:highlight w:val="none"/>
          <w14:ligatures w14:val="none"/>
        </w:rPr>
        <w:t xml:space="preserve">, - сказал представитель Ирана, отметив роль Росреестра в развитии сферы глобальных пространственных данных.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Помощник директора Центра геоинформационных систем при Министерстве муниципального развития Катара </w:t>
      </w:r>
      <w:r>
        <w:rPr>
          <w:b w:val="0"/>
          <w:bCs w:val="0"/>
          <w:color w:val="292c2f"/>
          <w:highlight w:val="none"/>
          <w14:ligatures w14:val="none"/>
        </w:rPr>
        <w:t xml:space="preserve">Аль-Хумаиди Амер </w:t>
      </w:r>
      <w:r>
        <w:rPr>
          <w:b w:val="0"/>
          <w:bCs w:val="0"/>
          <w:color w:val="292c2f"/>
          <w:highlight w:val="none"/>
          <w14:ligatures w14:val="none"/>
        </w:rPr>
        <w:t xml:space="preserve">отметил необходимость выработки единых стандартов получения геопространственной информации. По его мнению, это позволит снизить издержки при обмене информацией, в том числе в рамках международного сотрудничества.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Мы готовы развивать дальнейшее сотрудничество с Российской Федерацией – организовывать визиты специалистов, участвовать в различных официальных мероприятиях и выполнять соглашения, которые были подписаны нашими государствами</w:t>
      </w:r>
      <w:r>
        <w:rPr>
          <w:b w:val="0"/>
          <w:bCs w:val="0"/>
          <w:color w:val="292c2f"/>
          <w:highlight w:val="none"/>
          <w14:ligatures w14:val="none"/>
        </w:rPr>
        <w:t xml:space="preserve">», - добавил представитель Катара.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О развитии Национальной инфраструктуры пространственных данных (ИПД) в Республике Кыргызстан рассказал заместитель начальника управления Государственного агентства по земельным ресурсам, кадастру, геодезии и картографии при Кабинете Министров Киргизской Ре</w:t>
      </w:r>
      <w:r>
        <w:rPr>
          <w:b w:val="0"/>
          <w:bCs w:val="0"/>
          <w:color w:val="292c2f"/>
          <w:highlight w:val="none"/>
          <w14:ligatures w14:val="none"/>
        </w:rPr>
        <w:t xml:space="preserve">спублики </w:t>
      </w:r>
      <w:r>
        <w:rPr>
          <w:b w:val="0"/>
          <w:bCs w:val="0"/>
          <w:color w:val="292c2f"/>
          <w:highlight w:val="none"/>
          <w14:ligatures w14:val="none"/>
        </w:rPr>
        <w:t xml:space="preserve">Алмаз Абдиев</w:t>
      </w:r>
      <w:r>
        <w:rPr>
          <w:b w:val="0"/>
          <w:bCs w:val="0"/>
          <w:color w:val="292c2f"/>
          <w:highlight w:val="none"/>
          <w14:ligatures w14:val="none"/>
        </w:rPr>
        <w:t xml:space="preserve">. В ближайшее время в стране планируется работа по обновлению цифровых карт, а также интеграция всех государственных порталов в единую ИПД. К 2030 году к работе с ИПД планируется привлечь все муниципалитеты республики.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Ректор Московского государственного университета геодезии и картографии (МИИГАиК) </w:t>
      </w:r>
      <w:r>
        <w:rPr>
          <w:b w:val="0"/>
          <w:bCs w:val="0"/>
          <w:color w:val="292c2f"/>
          <w:highlight w:val="none"/>
          <w14:ligatures w14:val="none"/>
        </w:rPr>
        <w:t xml:space="preserve">Надежда Камынина</w:t>
      </w:r>
      <w:r>
        <w:rPr>
          <w:b w:val="0"/>
          <w:bCs w:val="0"/>
          <w:color w:val="292c2f"/>
          <w:highlight w:val="none"/>
          <w14:ligatures w14:val="none"/>
        </w:rPr>
        <w:t xml:space="preserve"> отметила, что система подготовки кадров для отрасли переживает возрождение благодаря усилиям руководителя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Олега Скуфинского </w:t>
      </w:r>
      <w:r>
        <w:rPr>
          <w:b w:val="0"/>
          <w:bCs w:val="0"/>
          <w:color w:val="292c2f"/>
          <w:highlight w:val="none"/>
          <w14:ligatures w14:val="none"/>
        </w:rPr>
        <w:t xml:space="preserve">и Министра науки и высшего образования РФ </w:t>
      </w:r>
      <w:r>
        <w:rPr>
          <w:b w:val="0"/>
          <w:bCs w:val="0"/>
          <w:color w:val="292c2f"/>
          <w:highlight w:val="none"/>
          <w14:ligatures w14:val="none"/>
        </w:rPr>
        <w:t xml:space="preserve">Валерия Фалькова</w:t>
      </w:r>
      <w:r>
        <w:rPr>
          <w:b w:val="0"/>
          <w:bCs w:val="0"/>
          <w:color w:val="292c2f"/>
          <w:highlight w:val="none"/>
          <w14:ligatures w14:val="none"/>
        </w:rPr>
        <w:t xml:space="preserve">. Созданы консорциум вузов для реализации государственной программы НСПД и международный сетевой университет МИИГАиК.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У нас есть опыт сетевого взаимодействия внутри страны, направленный на кадровое обеспечение отрасли. Этот уникальный опыт заслуживает масштабирования, поскольку впервые формирование экосистемы кадрового потенциала отрасли пространственных данных происходит</w:t>
      </w:r>
      <w:r>
        <w:rPr>
          <w:b w:val="0"/>
          <w:bCs w:val="0"/>
          <w:color w:val="292c2f"/>
          <w:highlight w:val="none"/>
          <w14:ligatures w14:val="none"/>
        </w:rPr>
        <w:t xml:space="preserve"> при участии работодателя. Более 5 тысяч сотрудников Большого Росреестра со всей страны уже прошли обучение. К международному сетевому университету МИИГАиК сегодня присоединяются дружественные страны и партнеры за пределами СНГ</w:t>
      </w:r>
      <w:r>
        <w:rPr>
          <w:b w:val="0"/>
          <w:bCs w:val="0"/>
          <w:color w:val="292c2f"/>
          <w:highlight w:val="none"/>
          <w14:ligatures w14:val="none"/>
        </w:rPr>
        <w:t xml:space="preserve">», - рассказала </w:t>
      </w:r>
      <w:r>
        <w:rPr>
          <w:b w:val="0"/>
          <w:bCs w:val="0"/>
          <w:color w:val="292c2f"/>
          <w:highlight w:val="none"/>
          <w14:ligatures w14:val="none"/>
        </w:rPr>
        <w:t xml:space="preserve">Надежда Камынина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Участники сессии также обсудили новые возможности для реализации совместных международных проектов в сфере пространственных данных, в том числе с привлечением образовательных организаций государств.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ходе визита в Казань делегации Росреестра, Катара и Ир</w:t>
      </w:r>
      <w:r>
        <w:rPr>
          <w:b w:val="0"/>
          <w:bCs w:val="0"/>
          <w:color w:val="292c2f"/>
          <w:highlight w:val="none"/>
          <w14:ligatures w14:val="none"/>
        </w:rPr>
        <w:t xml:space="preserve">ана также ознакомились с работой территориального управления Росреестра по Республике Татарстан, филиала ППК «Роскадастр» и Ведомственного центра телефонного обслуживания Росреестра. В региональном управлении Росреестра состоялся круглый стол с демонстраци</w:t>
      </w:r>
      <w:r>
        <w:rPr>
          <w:b w:val="0"/>
          <w:bCs w:val="0"/>
          <w:color w:val="292c2f"/>
          <w:highlight w:val="none"/>
          <w14:ligatures w14:val="none"/>
        </w:rPr>
        <w:t xml:space="preserve">ей функциональных возможностей сервисов НСПД.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13. </w:t>
      </w:r>
      <w:r>
        <w:rPr>
          <w:b/>
          <w:bCs/>
          <w:color w:val="292c2f"/>
          <w:highlight w:val="none"/>
          <w14:ligatures w14:val="none"/>
        </w:rPr>
        <w:t xml:space="preserve">Госдума приняла в I чтении законопроект о передаче ППК «Роскадастр» полномочий по ведению фонда данных кадастровой оценки.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Государственная Дума приняла в первом чтении законопроект, которым предусмотрена передача полномочий Росреестра по ведению фонда данных государственной кадастровой оценки (ГКО) публично-п</w:t>
      </w:r>
      <w:r>
        <w:rPr>
          <w:b w:val="0"/>
          <w:bCs w:val="0"/>
          <w:color w:val="292c2f"/>
          <w:highlight w:val="none"/>
          <w14:ligatures w14:val="none"/>
        </w:rPr>
        <w:t xml:space="preserve">равовой компании «Роскадастр». На пленарном заседании законопроект пр</w:t>
      </w:r>
      <w:r>
        <w:rPr>
          <w:b w:val="0"/>
          <w:bCs w:val="0"/>
          <w:color w:val="292c2f"/>
          <w:highlight w:val="none"/>
          <w14:ligatures w14:val="none"/>
        </w:rPr>
        <w:t xml:space="preserve">едставил статс-секретарь – заместитель руководителя ведомства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Алексей Бутовецкий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настоящее время полномочия по ведению фонда ГКО закреплены за Росреестром. Работы по проведению ГКО осуществляют специально созданные в субъектах РФ бюджетные учреждения, которые передают в фонд ГКО все необходимые сведения и материалы.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Как сообщил </w:t>
      </w:r>
      <w:r>
        <w:rPr>
          <w:b w:val="0"/>
          <w:bCs w:val="0"/>
          <w:color w:val="292c2f"/>
          <w:highlight w:val="none"/>
          <w14:ligatures w14:val="none"/>
        </w:rPr>
        <w:t xml:space="preserve">Алексей Бутовецкий</w:t>
      </w:r>
      <w:r>
        <w:rPr>
          <w:b w:val="0"/>
          <w:bCs w:val="0"/>
          <w:color w:val="292c2f"/>
          <w:highlight w:val="none"/>
          <w14:ligatures w14:val="none"/>
        </w:rPr>
        <w:t xml:space="preserve">, сегодня ППК «Роскадастр» уже наделена рядом полномочий в сфере ГКО – компания не только предоставляет исходную информацию для проведения оценки, но и вносит в ЕГРН сведения, полученные в результате данных работ. Также ППК является оператором ФГИС «Единая</w:t>
      </w:r>
      <w:r>
        <w:rPr>
          <w:b w:val="0"/>
          <w:bCs w:val="0"/>
          <w:color w:val="292c2f"/>
          <w:highlight w:val="none"/>
          <w14:ligatures w14:val="none"/>
        </w:rPr>
        <w:t xml:space="preserve"> цифровая платформа «НСПД», на которую уже перенесен и функционирует </w:t>
      </w:r>
      <w:hyperlink r:id="rId28" w:tooltip="https://nspd.gov.ru/cadastral-price/reports" w:history="1">
        <w:r>
          <w:rPr>
            <w:b w:val="0"/>
            <w:bCs w:val="0"/>
            <w:color w:val="292c2f"/>
            <w:highlight w:val="none"/>
            <w14:ligatures w14:val="none"/>
          </w:rPr>
          <w:t xml:space="preserve">фонд данных ГКО</w:t>
        </w:r>
      </w:hyperlink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«Таким образом, получив полномочия по ведению фонда, ППК «Роскадастр» станет предприятием единого цикла в части обеспечения и сопровождения государственной кадастровой оценки. Это позволит усовершенствовать процедуру проведения и сопровождения ГКО с помощь</w:t>
      </w:r>
      <w:r>
        <w:rPr>
          <w:b w:val="0"/>
          <w:bCs w:val="0"/>
          <w:color w:val="292c2f"/>
          <w:highlight w:val="none"/>
          <w14:ligatures w14:val="none"/>
        </w:rPr>
        <w:t xml:space="preserve">ю Единой цифровой платформы НСПД и обеспечит доступность для граждан сервисов обратной связи по вопросам определения кадастровой стоимости», </w:t>
      </w:r>
      <w:r>
        <w:rPr>
          <w:b w:val="0"/>
          <w:bCs w:val="0"/>
          <w:color w:val="292c2f"/>
          <w:highlight w:val="none"/>
          <w14:ligatures w14:val="none"/>
        </w:rPr>
        <w:t xml:space="preserve">- сказал </w:t>
      </w:r>
      <w:r>
        <w:rPr>
          <w:b w:val="0"/>
          <w:bCs w:val="0"/>
          <w:color w:val="292c2f"/>
          <w:highlight w:val="none"/>
          <w14:ligatures w14:val="none"/>
        </w:rPr>
        <w:t xml:space="preserve">статс-секретарь – заместитель руководителя ведомства.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Он также отметил, что в декабре 2024 года на базе НСПД введена в эксплуатацию подсистема рынка недвижимости. Благодаря этому на единой цифровой платформе выстроены все процессы по определению кадастровой стоимости и обеспечено взаимодействие всех участнико</w:t>
      </w:r>
      <w:r>
        <w:rPr>
          <w:b w:val="0"/>
          <w:bCs w:val="0"/>
          <w:color w:val="292c2f"/>
          <w:highlight w:val="none"/>
          <w14:ligatures w14:val="none"/>
        </w:rPr>
        <w:t xml:space="preserve">в государственной кадастровой оценки. Платформа будет использоваться для расчета кадастровой стоимости и развития ряда цифровых инструментов.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Так, законопроект предусматривает создание удобных сервисов для направления гражданами замечаний, обращений и ины</w:t>
      </w:r>
      <w:r>
        <w:rPr>
          <w:b w:val="0"/>
          <w:bCs w:val="0"/>
          <w:color w:val="292c2f"/>
          <w:highlight w:val="none"/>
          <w14:ligatures w14:val="none"/>
        </w:rPr>
        <w:t xml:space="preserve">х документов по вопросам кадастровой стоимости. В частности, с помощью НСПД в режиме онлайн можно будет направить на рассмотрение в бюджетные учреждения декларацию о характеристиках объекта недвижимости. Также можно будет обратиться с замечаниями к проекту</w:t>
      </w:r>
      <w:r>
        <w:rPr>
          <w:b w:val="0"/>
          <w:bCs w:val="0"/>
          <w:color w:val="292c2f"/>
          <w:highlight w:val="none"/>
          <w14:ligatures w14:val="none"/>
        </w:rPr>
        <w:t xml:space="preserve"> отчета об итогах ГКО, попросить предоставить разъяснения по вопросам определения кадастровой стоимости или исправить ошибки, допущенные в ходе данной процедуры.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Кроме того, на странице фонда ГКО можно будет подать заявление об установлении кадастровой ст</w:t>
      </w:r>
      <w:r>
        <w:rPr>
          <w:b w:val="0"/>
          <w:bCs w:val="0"/>
          <w:color w:val="292c2f"/>
          <w:highlight w:val="none"/>
          <w14:ligatures w14:val="none"/>
        </w:rPr>
        <w:t xml:space="preserve">оимости объекта в размере рыночной. Законопроект унифицирует процесс рассмотрения таких обращений. Планируется, что руководством каждого субъекта РФ будет утвержден регламент, что повысит качество принимаемых решений и сделает процедуру установления рыночн</w:t>
      </w:r>
      <w:r>
        <w:rPr>
          <w:b w:val="0"/>
          <w:bCs w:val="0"/>
          <w:color w:val="292c2f"/>
          <w:highlight w:val="none"/>
          <w14:ligatures w14:val="none"/>
        </w:rPr>
        <w:t xml:space="preserve">ой стоимости более понятной для заявителей.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При этом стоит отметить, что в случае, если кадастровая стоимость определена некорректно, граждане по-прежнему смогут ее оспорить при обращении в бюджетные учреждения, специальные комиссии при органах власти суб</w:t>
      </w:r>
      <w:r>
        <w:rPr>
          <w:b w:val="0"/>
          <w:bCs w:val="0"/>
          <w:color w:val="292c2f"/>
          <w:highlight w:val="none"/>
          <w14:ligatures w14:val="none"/>
        </w:rPr>
        <w:t xml:space="preserve">ъекта или в суде. Действующие механизмы оспаривания кадастровой стоимости предусмотрены Федеральным законом № 237-ФЗ от 3 июля 2016 г.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Также законопроектом предлагается установить предельный срок официального опубликования акта об утверждении результатов </w:t>
      </w:r>
      <w:r>
        <w:rPr>
          <w:b w:val="0"/>
          <w:bCs w:val="0"/>
          <w:color w:val="292c2f"/>
          <w:highlight w:val="none"/>
          <w14:ligatures w14:val="none"/>
        </w:rPr>
        <w:t xml:space="preserve">определения кадастровой стоимости - не позднее 30 ноября года проведения ГКО. Это позволит исключить нарушение сроков проведения государственной кадастровой оценки и применять полученные сведения о кадастровой стоимости с 1 января года, следующего за годом</w:t>
      </w:r>
      <w:r>
        <w:rPr>
          <w:b w:val="0"/>
          <w:bCs w:val="0"/>
          <w:color w:val="292c2f"/>
          <w:highlight w:val="none"/>
          <w14:ligatures w14:val="none"/>
        </w:rPr>
        <w:t xml:space="preserve"> проведения ГКО.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случае принятия законопроект вступит в силу с 1 января 2026 г. (за исключением отдельных положений).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Напомним, что в настоящее время на рассмотрении в Государственной Думе также находится законопроект Росреестра, которым предлагается п</w:t>
      </w:r>
      <w:r>
        <w:rPr>
          <w:b w:val="0"/>
          <w:bCs w:val="0"/>
          <w:color w:val="292c2f"/>
          <w:highlight w:val="none"/>
          <w14:ligatures w14:val="none"/>
        </w:rPr>
        <w:t xml:space="preserve">роводить государственную кадастровую оценку во всех субъектах Российской Федерации с использованием НСПД. </w:t>
      </w:r>
      <w:hyperlink r:id="rId29" w:tooltip="https://rosreestr.gov.ru/press/archive/gosduma-prinyala-v-i-chtenii-zakonoproekt-o-provedenii-kadotsenki-s-pomoshchyu-nspd/?ysclid=m6j18qlx8l855419696" w:history="1">
        <w:r>
          <w:rPr>
            <w:b w:val="0"/>
            <w:bCs w:val="0"/>
            <w:color w:val="292c2f"/>
            <w:highlight w:val="none"/>
            <w14:ligatures w14:val="none"/>
          </w:rPr>
          <w:t xml:space="preserve">Инициатива поддержана</w:t>
        </w:r>
      </w:hyperlink>
      <w:r>
        <w:rPr>
          <w:b w:val="0"/>
          <w:bCs w:val="0"/>
          <w:color w:val="292c2f"/>
          <w:highlight w:val="none"/>
          <w14:ligatures w14:val="none"/>
        </w:rPr>
        <w:t xml:space="preserve"> в первом чтении.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1</w:t>
      </w:r>
      <w:r>
        <w:rPr>
          <w:b/>
          <w:bCs/>
          <w:color w:val="292c2f"/>
          <w:highlight w:val="none"/>
          <w14:ligatures w14:val="none"/>
        </w:rPr>
        <w:t xml:space="preserve">4. </w:t>
      </w:r>
      <w:r>
        <w:rPr>
          <w:b/>
          <w:bCs/>
          <w:color w:val="292c2f"/>
          <w:highlight w:val="none"/>
          <w14:ligatures w14:val="none"/>
        </w:rPr>
        <w:t xml:space="preserve">Росреестр принял участие в сессии Рабочей группы ЕЭК ООН по управлению земельными ресурсами.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Заместитель руководителя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Татьяна Громова</w:t>
      </w:r>
      <w:r>
        <w:rPr>
          <w:b w:val="0"/>
          <w:bCs w:val="0"/>
          <w:color w:val="292c2f"/>
          <w:highlight w:val="none"/>
          <w14:ligatures w14:val="none"/>
        </w:rPr>
        <w:t xml:space="preserve"> приняла участие в 14-й сессии Рабочей группы Европейской экономической комиссии Организации Объединенных Наций (ЕЭК ООН) по управлению земельными ресурсами в Женеве. Участники подвели итоги работы за прошедший период и обозначили направления деятельности </w:t>
      </w:r>
      <w:r>
        <w:rPr>
          <w:b w:val="0"/>
          <w:bCs w:val="0"/>
          <w:color w:val="292c2f"/>
          <w:highlight w:val="none"/>
          <w14:ligatures w14:val="none"/>
        </w:rPr>
        <w:t xml:space="preserve">на ближайшие два года.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Также в российскую делегацию вошли начальник Управления качества данных ЕГРН и ведения ЕГРН кадастрового округа «Общероссийский»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Людмила Лилина </w:t>
      </w:r>
      <w:r>
        <w:rPr>
          <w:b w:val="0"/>
          <w:bCs w:val="0"/>
          <w:color w:val="292c2f"/>
          <w:highlight w:val="none"/>
          <w14:ligatures w14:val="none"/>
        </w:rPr>
        <w:t xml:space="preserve">и</w:t>
      </w:r>
      <w:r>
        <w:rPr>
          <w:b w:val="0"/>
          <w:bCs w:val="0"/>
          <w:color w:val="292c2f"/>
          <w:highlight w:val="none"/>
          <w14:ligatures w14:val="none"/>
        </w:rPr>
        <w:t xml:space="preserve"> </w:t>
      </w:r>
      <w:r>
        <w:rPr>
          <w:b w:val="0"/>
          <w:bCs w:val="0"/>
          <w:color w:val="292c2f"/>
          <w:highlight w:val="none"/>
          <w14:ligatures w14:val="none"/>
        </w:rPr>
        <w:t xml:space="preserve">советник Управления международного сотрудничества, информационной политики и специальных проектов </w:t>
      </w:r>
      <w:r>
        <w:rPr>
          <w:b w:val="0"/>
          <w:bCs w:val="0"/>
          <w:color w:val="292c2f"/>
          <w:highlight w:val="none"/>
          <w14:ligatures w14:val="none"/>
        </w:rPr>
        <w:t xml:space="preserve">Дарья Смолич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Участниками мероприятия стали представители государственных структур, органов власти, научных организаций и независимые эксперты из 18 стран, в том числе Азербайджана, Армении, Венгрии, Германии, Греции, Испании, Италии, Мальты, Молдовы и др.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соответств</w:t>
      </w:r>
      <w:r>
        <w:rPr>
          <w:b w:val="0"/>
          <w:bCs w:val="0"/>
          <w:color w:val="292c2f"/>
          <w:highlight w:val="none"/>
          <w14:ligatures w14:val="none"/>
        </w:rPr>
        <w:t xml:space="preserve">ии с распоряжением Правительства РФ от 20.03.2021 № 696-р Росреестр обеспечивает участие России в деятельности следующих органов ЕЭК ООН: Комитета по городскому развитию, жилищному хозяйству и землепользованию и Рабочей группы по управлению земельными ресу</w:t>
      </w:r>
      <w:r>
        <w:rPr>
          <w:b w:val="0"/>
          <w:bCs w:val="0"/>
          <w:color w:val="292c2f"/>
          <w:highlight w:val="none"/>
          <w14:ligatures w14:val="none"/>
        </w:rPr>
        <w:t xml:space="preserve">рсами (Рабочая группа).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Взаимодействие с профильными международными организациями, в том числе системы ООН, где ведомство представляет интересы Российской Федерации, является важным направлением деятельности Росреестра. Это позволяет изучать передовой зарубежный опыт в сфере упра</w:t>
      </w:r>
      <w:r>
        <w:rPr>
          <w:b w:val="0"/>
          <w:bCs w:val="0"/>
          <w:color w:val="292c2f"/>
          <w:highlight w:val="none"/>
          <w14:ligatures w14:val="none"/>
        </w:rPr>
        <w:t xml:space="preserve">вления земельными ресурсами, кадастра, геодезии, картографии и инфраструктуры пространственных данных, а также демонстрировать наши достижения и технологии иностранным партнерам. В рамках международного сотрудничества с начала 2025 года представители ведом</w:t>
      </w:r>
      <w:r>
        <w:rPr>
          <w:b w:val="0"/>
          <w:bCs w:val="0"/>
          <w:color w:val="292c2f"/>
          <w:highlight w:val="none"/>
          <w14:ligatures w14:val="none"/>
        </w:rPr>
        <w:t xml:space="preserve">ства приняли участие более чем в 30 мероприятиях, а за весь прошлый год их было свыше 100»</w:t>
      </w:r>
      <w:r>
        <w:rPr>
          <w:b w:val="0"/>
          <w:bCs w:val="0"/>
          <w:color w:val="292c2f"/>
          <w:highlight w:val="none"/>
          <w14:ligatures w14:val="none"/>
        </w:rPr>
        <w:t xml:space="preserve">, - отметила </w:t>
      </w:r>
      <w:r>
        <w:rPr>
          <w:b w:val="0"/>
          <w:bCs w:val="0"/>
          <w:color w:val="292c2f"/>
          <w:highlight w:val="none"/>
          <w14:ligatures w14:val="none"/>
        </w:rPr>
        <w:t xml:space="preserve">Татьяна Громова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Заместитель руководителя также сообщила, что Росреестр регулярно принимает участие в вебинарах Рабочей группы. Ранее на них обсуждались вопросы информационной безопасности, создания экосистем для управления земельными ресурсами, а также обеспечения защи</w:t>
      </w:r>
      <w:r>
        <w:rPr>
          <w:b w:val="0"/>
          <w:bCs w:val="0"/>
          <w:color w:val="292c2f"/>
          <w:highlight w:val="none"/>
          <w14:ligatures w14:val="none"/>
        </w:rPr>
        <w:t xml:space="preserve">ты права собственности в связи с чрезвычайными ситуациями природного и техногенного характера.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рамках сессии участники обсудили ход реализации программы работы Рабочей группы на 2024-2025 годы, в том числе обмен опытом, практики управления земельными ре</w:t>
      </w:r>
      <w:r>
        <w:rPr>
          <w:b w:val="0"/>
          <w:bCs w:val="0"/>
          <w:color w:val="292c2f"/>
          <w:highlight w:val="none"/>
          <w14:ligatures w14:val="none"/>
        </w:rPr>
        <w:t xml:space="preserve">сурсами в различных государствах и исследования, касающиеся землепользования.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Кроме того, участники рассмотрели возможности укрепления сотрудничества с другими международными организациями, представили свои предложения по ключевым направлениям деятельности, совместным мероприятиям и встречам, а также утвердили программу работы на 20</w:t>
      </w:r>
      <w:r>
        <w:rPr>
          <w:b w:val="0"/>
          <w:bCs w:val="0"/>
          <w:color w:val="292c2f"/>
          <w:highlight w:val="none"/>
          <w14:ligatures w14:val="none"/>
        </w:rPr>
        <w:t xml:space="preserve">26-2027 годы.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рамках поездки в Женеву делегация Росреестра также посетила церемонию открытия выставки «Искусство хранит историю», посвященной 80-летию Победы в Великой Отечественной войне. Ее организаторами выступили Постоянное представительство Российс</w:t>
      </w:r>
      <w:r>
        <w:rPr>
          <w:b w:val="0"/>
          <w:bCs w:val="0"/>
          <w:color w:val="292c2f"/>
          <w:highlight w:val="none"/>
          <w14:ligatures w14:val="none"/>
        </w:rPr>
        <w:t xml:space="preserve">кой Федерации при Отделении ООН и других международных организациях в Женеве и международное издание «Русская Галерея – XXI век». В европейской штаб-квартире ООН были представлены 45 работ российских и белорусских художников. Картины, вышивки, скульптуры и</w:t>
      </w:r>
      <w:r>
        <w:rPr>
          <w:b w:val="0"/>
          <w:bCs w:val="0"/>
          <w:color w:val="292c2f"/>
          <w:highlight w:val="none"/>
          <w14:ligatures w14:val="none"/>
        </w:rPr>
        <w:t xml:space="preserve">з металла и дерева рассказывают о стойкости духа, горечи утрат, судьбах и чувствах советского народа во время Великой Отечественной войны.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1</w:t>
      </w:r>
      <w:r>
        <w:rPr>
          <w:b/>
          <w:bCs/>
          <w:color w:val="292c2f"/>
          <w:highlight w:val="none"/>
          <w14:ligatures w14:val="none"/>
        </w:rPr>
        <w:t xml:space="preserve">5. </w:t>
      </w:r>
      <w:r>
        <w:rPr>
          <w:b/>
          <w:bCs/>
          <w:color w:val="292c2f"/>
          <w:highlight w:val="none"/>
          <w14:ligatures w14:val="none"/>
        </w:rPr>
        <w:t xml:space="preserve">Марат Хуснуллин: В рамках проекта «Земля для стройки» выявлено более 182 тыс. га для жилищного строительства.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Правительство проводит системную работу по устойчивому развитию территорий. В том числе на эффективное вовлечение в оборот неиспользуемых земельных участков направлен проект Росреестра «Земля для стройки». Почти за четыре года с начала реализации этого про</w:t>
      </w:r>
      <w:r>
        <w:rPr>
          <w:b w:val="0"/>
          <w:bCs w:val="0"/>
          <w:color w:val="292c2f"/>
          <w:highlight w:val="none"/>
          <w14:ligatures w14:val="none"/>
        </w:rPr>
        <w:t xml:space="preserve">екта выявлено более 137 тыс. участков и территорий общей площадью около 182,7 тыс. га, которые можно использовать для жилищного строительства. Об этом сообщил Заместитель Председателя Правительства </w:t>
      </w:r>
      <w:r>
        <w:rPr>
          <w:b w:val="0"/>
          <w:bCs w:val="0"/>
          <w:color w:val="292c2f"/>
          <w:highlight w:val="none"/>
          <w14:ligatures w14:val="none"/>
        </w:rPr>
        <w:t xml:space="preserve">Марат Хуснуллин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«Совместно с регионами Росреестр продолжает развивать проект “Земля для стройки„, увеличивая количество участников и территорий, которые можно эффективно задействовать для улучшения жилищных условий россиян. Из общего объёма выявленных земель для многок</w:t>
      </w:r>
      <w:r>
        <w:rPr>
          <w:b w:val="0"/>
          <w:bCs w:val="0"/>
          <w:color w:val="292c2f"/>
          <w:highlight w:val="none"/>
          <w14:ligatures w14:val="none"/>
        </w:rPr>
        <w:t xml:space="preserve">вартирной застройки можно использовать 14,9 тыс. участков площадью 57,9 тыс. га, а для индивидуального жилищного строительства – 122,3 тыс. участков площадью 124,8 тыс. га. Только за январь – апрель 2025 года выявлено 12,1 тыс. участков и территорий общей </w:t>
      </w:r>
      <w:r>
        <w:rPr>
          <w:b w:val="0"/>
          <w:bCs w:val="0"/>
          <w:color w:val="292c2f"/>
          <w:highlight w:val="none"/>
          <w14:ligatures w14:val="none"/>
        </w:rPr>
        <w:t xml:space="preserve">площадью 6,8 тыс. га. С начала действия проекта в оборот уже вовлечены 41,6 тыс. участков площадью 25,6 тыс. га, из них 1,4 тыс. га – в этом году», – сообщил Марат Хуснуллин. 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Лидерами по количеству и площади выявленных участков стали Приволжский и Центра</w:t>
      </w:r>
      <w:r>
        <w:rPr>
          <w:b w:val="0"/>
          <w:bCs w:val="0"/>
          <w:color w:val="292c2f"/>
          <w:highlight w:val="none"/>
          <w14:ligatures w14:val="none"/>
        </w:rPr>
        <w:t xml:space="preserve">льный федеральные округа. Здесь зафиксировано 30 тыс. участков площадью более 40 тыс. га и 21,8 тыс. площадью 33,6 тыс. га соответственно. Это 40% от общей площади всех земель, выявленных в рамках проекта.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По числу участков, пригодных для жилищного строит</w:t>
      </w:r>
      <w:r>
        <w:rPr>
          <w:b w:val="0"/>
          <w:bCs w:val="0"/>
          <w:color w:val="292c2f"/>
          <w:highlight w:val="none"/>
          <w14:ligatures w14:val="none"/>
        </w:rPr>
        <w:t xml:space="preserve">ельства, конкуренцию им составил Северо-Кавказский федеральный округ – 30,1 тыс., однако он уступил по площади выявленных земель – 13,4 тыс. га.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 тройку лидеров по площади выявленных территорий традиционно вошёл Сибирский федеральный округ – здесь зафикс</w:t>
      </w:r>
      <w:r>
        <w:rPr>
          <w:b w:val="0"/>
          <w:bCs w:val="0"/>
          <w:color w:val="292c2f"/>
          <w:highlight w:val="none"/>
          <w14:ligatures w14:val="none"/>
        </w:rPr>
        <w:t xml:space="preserve">ировано 11,4 тыс. участков площадью 25,8 тыс. га.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Среди регионов лучшие показатели по‑прежнему у Краснодарского края (1,5 тыс. участков площадью 9,3 тыс. га), Московской (2,5 тыс. участков площадью 9,2 тыс. га) и Свердловской областей (4,8 тыс. участков п</w:t>
      </w:r>
      <w:r>
        <w:rPr>
          <w:b w:val="0"/>
          <w:bCs w:val="0"/>
          <w:color w:val="292c2f"/>
          <w:highlight w:val="none"/>
          <w14:ligatures w14:val="none"/>
        </w:rPr>
        <w:t xml:space="preserve">лощадью 8,1 тыс. га).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По словам вице-премьера, по объёму вовлечения земельных участков в оборот лидируют Московская (2,2 тыс. участков площадью 5,7 тыс. га), Нижегородская (3,7 тыс. участков площадью 2,1 тыс. га) области, Краснодарский край (310 участков </w:t>
      </w:r>
      <w:r>
        <w:rPr>
          <w:b w:val="0"/>
          <w:bCs w:val="0"/>
          <w:color w:val="292c2f"/>
          <w:highlight w:val="none"/>
          <w14:ligatures w14:val="none"/>
        </w:rPr>
        <w:t xml:space="preserve">площадью 1,4 тыс. га) и Ростовская область (764 участка площадью 1,3 тыс. га).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 частности, в Свердловской области на землях, выявленных в рамках проекта, построены и поставлены на кадастровый учёт 8 многоквартирных домов. Кроме того, в городе Камышлове в</w:t>
      </w:r>
      <w:r>
        <w:rPr>
          <w:b w:val="0"/>
          <w:bCs w:val="0"/>
          <w:color w:val="292c2f"/>
          <w:highlight w:val="none"/>
          <w14:ligatures w14:val="none"/>
        </w:rPr>
        <w:t xml:space="preserve">озведён многоквартирный дом общей площадью 4,1 тыс. кв. м, предназначенный для переселения граждан из аварийного жилья. 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 Новосибирской области в оборот под жилищное строительство вовлечено 114 земельных участков общей площадью более 337 тыс. га. Одним и</w:t>
      </w:r>
      <w:r>
        <w:rPr>
          <w:b w:val="0"/>
          <w:bCs w:val="0"/>
          <w:color w:val="292c2f"/>
          <w:highlight w:val="none"/>
          <w14:ligatures w14:val="none"/>
        </w:rPr>
        <w:t xml:space="preserve">з крупных проектов, реализуемых на выявленных земельных участках, является микрорайон Клюквенный площадью 200 га – это флагманский проект развития северной части города Новосибирска. 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 Ставропольском крае в городе Пятигорске реализуется масштабный инвест</w:t>
      </w:r>
      <w:r>
        <w:rPr>
          <w:b w:val="0"/>
          <w:bCs w:val="0"/>
          <w:color w:val="292c2f"/>
          <w:highlight w:val="none"/>
          <w14:ligatures w14:val="none"/>
        </w:rPr>
        <w:t xml:space="preserve">иционный проект по строительству жилого комплекса в микрорайоне Западном. До конца 2032 года на выявленных земельных участках планируется возвести многоквартирные дома общей площадью 142 тыс. кв. м. В Кисловодске инвестором ведётся строительство жилого рай</w:t>
      </w:r>
      <w:r>
        <w:rPr>
          <w:b w:val="0"/>
          <w:bCs w:val="0"/>
          <w:color w:val="292c2f"/>
          <w:highlight w:val="none"/>
          <w14:ligatures w14:val="none"/>
        </w:rPr>
        <w:t xml:space="preserve">она. До конца 2027 года на участке площадью 80,2 тыс. кв. м планируется построить 62,5 тыс. кв. м жилых помещений в многоквартирных домах.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 Самарской области в городе Чапаевске на выявленных территориях завершено строительство трёх многоквартирных домов </w:t>
      </w:r>
      <w:r>
        <w:rPr>
          <w:b w:val="0"/>
          <w:bCs w:val="0"/>
          <w:color w:val="292c2f"/>
          <w:highlight w:val="none"/>
          <w14:ligatures w14:val="none"/>
        </w:rPr>
        <w:t xml:space="preserve">общей площадью более 7,5 тыс. кв. м. 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16.</w:t>
      </w:r>
      <w:r>
        <w:rPr>
          <w:b/>
          <w:bCs/>
          <w:color w:val="292c2f"/>
          <w:highlight w:val="none"/>
          <w14:ligatures w14:val="none"/>
        </w:rPr>
        <w:t xml:space="preserve"> </w:t>
      </w:r>
      <w:r>
        <w:rPr>
          <w:b/>
          <w:bCs/>
          <w:color w:val="292c2f"/>
          <w:highlight w:val="none"/>
          <w14:ligatures w14:val="none"/>
        </w:rPr>
        <w:t xml:space="preserve">Можно ли супругам оформить недвижимость в долевую собственность.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При приобретении квартиры в новостройке у супругов встает вопрос, в каких случаях право оформляется в совместную собственность, и возможно ли установить режим долевой собственности на помещение, приобретаемое по договору участия в долевом строительстве (ДД</w:t>
      </w:r>
      <w:r>
        <w:rPr>
          <w:b w:val="0"/>
          <w:bCs w:val="0"/>
          <w:color w:val="292c2f"/>
          <w:highlight w:val="none"/>
          <w14:ligatures w14:val="none"/>
        </w:rPr>
        <w:t xml:space="preserve">У). Разберем несколько примеров жизненных ситуаций: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1. ДДУ и Акт приема-передачи (Акт) были заключены в зарегистрированном браке, на момент государственной регистрации брак расторгнут, в данном случае у бывших супругов возникает общая совместная собственн</w:t>
      </w:r>
      <w:r>
        <w:rPr>
          <w:b w:val="0"/>
          <w:bCs w:val="0"/>
          <w:color w:val="292c2f"/>
          <w:highlight w:val="none"/>
          <w14:ligatures w14:val="none"/>
        </w:rPr>
        <w:t xml:space="preserve">ость, изменить режим собственности возможно путем заключения соглашения о разделе недвижимого имущества, либо в судебном порядке;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2. ДДУ заключен в зарегистрированном браке, на момент передачи объекта по Акту брак расторгнут. В этом случае, застройщик пер</w:t>
      </w:r>
      <w:r>
        <w:rPr>
          <w:b w:val="0"/>
          <w:bCs w:val="0"/>
          <w:color w:val="292c2f"/>
          <w:highlight w:val="none"/>
          <w14:ligatures w14:val="none"/>
        </w:rPr>
        <w:t xml:space="preserve">едает помещение в долевую собственность бывших супругов в равных долях. Если участники долевого строительства желают изменить доли либо оставить объект недвижимости одному из бывших супругов, необходимо заключить соглашение о разделе недвижимого имущества </w:t>
      </w:r>
      <w:r>
        <w:rPr>
          <w:b w:val="0"/>
          <w:bCs w:val="0"/>
          <w:color w:val="292c2f"/>
          <w:highlight w:val="none"/>
          <w14:ligatures w14:val="none"/>
        </w:rPr>
        <w:t xml:space="preserve">(следует обратиться к нотариусу).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3. На момент заключения ДДУ участник не состоял в зарегистрированном браке, при подписания Акта брак зарегистрирован, возникает ли у супругов режим совместной собственности в силу закона?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Комментирует заместитель руковод</w:t>
      </w:r>
      <w:r>
        <w:rPr>
          <w:b w:val="0"/>
          <w:bCs w:val="0"/>
          <w:color w:val="292c2f"/>
          <w:highlight w:val="none"/>
          <w14:ligatures w14:val="none"/>
        </w:rPr>
        <w:t xml:space="preserve">ителя Управления Росреестра по Новосибирской области </w:t>
      </w:r>
      <w:r>
        <w:rPr>
          <w:b w:val="0"/>
          <w:bCs w:val="0"/>
          <w:color w:val="292c2f"/>
          <w:highlight w:val="none"/>
          <w14:ligatures w14:val="none"/>
        </w:rPr>
        <w:t xml:space="preserve">Наталья Ивчатова</w:t>
      </w:r>
      <w:r>
        <w:rPr>
          <w:b w:val="0"/>
          <w:bCs w:val="0"/>
          <w:color w:val="292c2f"/>
          <w:highlight w:val="none"/>
          <w14:ligatures w14:val="none"/>
        </w:rPr>
        <w:t xml:space="preserve">: </w:t>
      </w:r>
      <w:r>
        <w:rPr>
          <w:b w:val="0"/>
          <w:bCs w:val="0"/>
          <w:color w:val="292c2f"/>
          <w:highlight w:val="none"/>
          <w14:ligatures w14:val="none"/>
        </w:rPr>
        <w:t xml:space="preserve">«В связи с тем, что на момент государственной регистрации ДДУ участник не состоял в зарегистрированном браке, на построенный объект возникает единоличная собственность. Переоформление доли на второго супруга возможно по брачному договору или договору дарен</w:t>
      </w:r>
      <w:r>
        <w:rPr>
          <w:b w:val="0"/>
          <w:bCs w:val="0"/>
          <w:color w:val="292c2f"/>
          <w:highlight w:val="none"/>
          <w14:ligatures w14:val="none"/>
        </w:rPr>
        <w:t xml:space="preserve">ия, заключенных в нотариальной форме».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Следует отметить, что интерес к долевому строительству продолжает расти. Так, в апреле 2025 года было заключено </w:t>
      </w:r>
      <w:r>
        <w:rPr>
          <w:b w:val="0"/>
          <w:bCs w:val="0"/>
          <w:color w:val="292c2f"/>
          <w:highlight w:val="none"/>
          <w14:ligatures w14:val="none"/>
        </w:rPr>
        <w:t xml:space="preserve">3 067</w:t>
      </w:r>
      <w:r>
        <w:rPr>
          <w:b w:val="0"/>
          <w:bCs w:val="0"/>
          <w:color w:val="292c2f"/>
          <w:highlight w:val="none"/>
          <w14:ligatures w14:val="none"/>
        </w:rPr>
        <w:t xml:space="preserve"> ДДУ — это самый высокий показатель в апреле за последние два года. Увеличивается и доля сделок, заключенных на жилье. В прошлом году доля ДДУ на жилые помещения составляла 28%, в то время как в апреле этого года - 42%. Это подтверждает актуальность вопрос</w:t>
      </w:r>
      <w:r>
        <w:rPr>
          <w:b w:val="0"/>
          <w:bCs w:val="0"/>
          <w:color w:val="292c2f"/>
          <w:highlight w:val="none"/>
          <w14:ligatures w14:val="none"/>
        </w:rPr>
        <w:t xml:space="preserve">ов, связанных с оформлением прав собственности на жилые помещения, в том числе и в контексте семейных отношений.</w:t>
        <w:br/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17. </w:t>
      </w:r>
      <w:r>
        <w:rPr>
          <w:b/>
          <w:bCs/>
          <w:color w:val="292c2f"/>
        </w:rPr>
        <w:t xml:space="preserve">Расширены полномочия кадастрового инженера.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1 марта 2025 расширены полномочия кадастрового инженера по предоставлению документов для регистрации недвижимости без получения нотариальной доверенности в случае подготовки технического плана, если кадастровые работы выполняются в связи: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1) с подготовк</w:t>
      </w:r>
      <w:r>
        <w:rPr>
          <w:b w:val="0"/>
          <w:bCs w:val="0"/>
          <w:color w:val="292c2f"/>
        </w:rPr>
        <w:t xml:space="preserve">ой межевого плана в целях образования земельных участков;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2) с подготовкой межевого плана в целях уточнения границ земельных участков;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3) с подготовкой акта обследования;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4) с подготовкой технического плана в целях осуществления государственного кадастр</w:t>
      </w:r>
      <w:r>
        <w:rPr>
          <w:b w:val="0"/>
          <w:bCs w:val="0"/>
          <w:color w:val="292c2f"/>
        </w:rPr>
        <w:t xml:space="preserve">ового учета и (или) государственной регистрации прав на объект недвижимости (за исключением случаев, установленных законом, когда органы власти или органы местного самоуправления обязаны направлять документы в орган регистрации прав).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выполнения полно</w:t>
      </w:r>
      <w:r>
        <w:rPr>
          <w:b w:val="0"/>
          <w:bCs w:val="0"/>
          <w:color w:val="292c2f"/>
        </w:rPr>
        <w:t xml:space="preserve">мочий между заказчиком (только физическим лицом – собственником или правообладателем) и кадастровым инженером/юридическим лицом должен быть заключен договор подряда.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Кадастровый инженер вправе осуществлять перевод подписанного сторонами в форме документа </w:t>
      </w:r>
      <w:r>
        <w:rPr>
          <w:b w:val="0"/>
          <w:bCs w:val="0"/>
          <w:color w:val="292c2f"/>
        </w:rPr>
        <w:t xml:space="preserve">на бумажном носителе договора подряда на выполнение кадастровых работ, а также документов, свидетельствующих о приемке заказчиком результатов кадастровых работ, в форму электронного образа документа и заверять своей усиленной квалифицированной электронной </w:t>
      </w:r>
      <w:r>
        <w:rPr>
          <w:b w:val="0"/>
          <w:bCs w:val="0"/>
          <w:color w:val="292c2f"/>
        </w:rPr>
        <w:t xml:space="preserve">подписью.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Электронная подпись физического лица не требуется.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подтверждения полномочий кадастровому инженеру требуется приложить к заявлению следующие документы: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договор подряда на выполнение кадастровых работ;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 (или) справка с места работы, подтве</w:t>
      </w:r>
      <w:r>
        <w:rPr>
          <w:b w:val="0"/>
          <w:bCs w:val="0"/>
          <w:color w:val="292c2f"/>
        </w:rPr>
        <w:t xml:space="preserve">рждающая, что кадастровый инженер является работником юридического лица;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документы, свидетельствующие о приемке заказчиком результатов кадастровых работ и его согласии с содержанием подготовленных по результатам таких работ документов.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«Данная возможность позволяет обеспечить эффективное и оперативное взаимодействие кадастрового инженера и органа регистрации прав, повысить качество предоставляемых кадастровым инженером услуг и минимизировать или во все исключить случаи приостановления го</w:t>
      </w:r>
      <w:r>
        <w:rPr>
          <w:b w:val="0"/>
          <w:bCs w:val="0"/>
          <w:color w:val="292c2f"/>
        </w:rPr>
        <w:t xml:space="preserve">сударственной регистрации. Такой порядок освобождает заявителя от дополнительных временных затрат, упрощает процесс и значительно увеличивает скорость обмена информацией в случае необходимости исправления технических документов. Теперь кадастровый инженер </w:t>
      </w:r>
      <w:r>
        <w:rPr>
          <w:b w:val="0"/>
          <w:bCs w:val="0"/>
          <w:color w:val="292c2f"/>
        </w:rPr>
        <w:t xml:space="preserve">может выдать пакет документов Заказчику «под ключ»»</w:t>
      </w:r>
      <w:r>
        <w:rPr>
          <w:b w:val="0"/>
          <w:bCs w:val="0"/>
          <w:color w:val="292c2f"/>
        </w:rPr>
        <w:t xml:space="preserve"> – поделилась мнением  кадастровый инженер компании ООО «Гео плюс» Светлана Пястова.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</w:rPr>
        <w:t xml:space="preserve">18. </w:t>
      </w:r>
      <w:r>
        <w:rPr>
          <w:b/>
          <w:bCs/>
          <w:color w:val="292c2f"/>
        </w:rPr>
        <w:t xml:space="preserve">Новосибирский Росреестр продолжает проект по использованию беспилотных летательных аппаратов в 2025 году.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помощью беспилотного летательного аппарата Управлением Росреестра по Новосибирской области в апреле обследовано 456 земельных участков, полеты совершены над территорией поселка Тулинский Верх-Тулинского сельсовета Новосибирского района общей площадью 200</w:t>
      </w:r>
      <w:r>
        <w:rPr>
          <w:b w:val="0"/>
          <w:bCs w:val="0"/>
          <w:color w:val="292c2f"/>
        </w:rPr>
        <w:t xml:space="preserve"> гектаров.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Полученные данные будут применяться для определения фактического использования земельных участков, координат характерных точек их границ в целях проверки корректности сведений о границах в Едином государственном реестре недвижимости, а также дл</w:t>
      </w:r>
      <w:r>
        <w:rPr>
          <w:b w:val="0"/>
          <w:bCs w:val="0"/>
          <w:color w:val="292c2f"/>
        </w:rPr>
        <w:t xml:space="preserve">я проведения профилактических мероприятий среди землепользователей.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Новосибирский Росреестр продолжает реализацию проекта по использованию беспилотных летательных аппаратов и уже в мае 2025 года планируется проведение еще нескольких полетов над территория</w:t>
      </w:r>
      <w:r>
        <w:rPr>
          <w:b w:val="0"/>
          <w:bCs w:val="0"/>
          <w:color w:val="292c2f"/>
        </w:rPr>
        <w:t xml:space="preserve">ми садоводческих товариществ  Соколовского сельсовета Колыванского района.</w:t>
        <w:br/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19. </w:t>
      </w:r>
      <w:r>
        <w:rPr>
          <w:b/>
          <w:bCs/>
          <w:color w:val="292c2f"/>
        </w:rPr>
        <w:t xml:space="preserve">Результаты взаимодействия новосибирского Росреестра и регионального министерства экономического развития обсудили в ходе совместного совещания.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Управлении Росреестра по Новосибирской области состоялось совместное совещание с участием руководства Управления и министерства экономического развития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Подведены итоги многолетней совместной работы по организации и обеспечению ока</w:t>
      </w:r>
      <w:r>
        <w:rPr>
          <w:b w:val="0"/>
          <w:bCs w:val="0"/>
          <w:color w:val="292c2f"/>
        </w:rPr>
        <w:t xml:space="preserve">зания населению области услуг Росреестра через Многофункциональный центр предоставления государственных и муниципальных услуг (МФЦ), подтверждена эффективность уникальных проектов Управления и МФЦ, позволивших повысить качество оказания услуг, минимизирова</w:t>
      </w:r>
      <w:r>
        <w:rPr>
          <w:b w:val="0"/>
          <w:bCs w:val="0"/>
          <w:color w:val="292c2f"/>
        </w:rPr>
        <w:t xml:space="preserve">ть решения о приостановлении учетно-регистрационных действий. Так, за 2,5 года на площадках МФЦ более 1000 граждан получили консультации специалистов новосибирского Росреестра в рамках проекта «Час Росреестра – в МФЦ», а проект «Регистрация за час» сегодня</w:t>
      </w:r>
      <w:r>
        <w:rPr>
          <w:b w:val="0"/>
          <w:bCs w:val="0"/>
          <w:color w:val="292c2f"/>
        </w:rPr>
        <w:t xml:space="preserve"> позволяет гражданам оформить свои ранее возникшие права за 25 минут.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«Новосибирский Росреестр заинтересован в повышении инвестиционной привлекательности региона. Ведомство принимаем активное участие в реализации «дорожной карты» Новосибирской области по национальному рейтингу и регионального инвестиционного стандарта. Разви</w:t>
      </w:r>
      <w:r>
        <w:rPr>
          <w:b w:val="0"/>
          <w:bCs w:val="0"/>
          <w:color w:val="292c2f"/>
        </w:rPr>
        <w:t xml:space="preserve">тию территории способствует большая работа ведомства по наполнению Единого государственного реестра недвижимости полными и точными сведениями о границах, работа с опорными населенными пунктами, работа по созданию Банка земли»</w:t>
      </w:r>
      <w:r>
        <w:rPr>
          <w:b w:val="0"/>
          <w:bCs w:val="0"/>
          <w:color w:val="292c2f"/>
        </w:rPr>
        <w:t xml:space="preserve">, - отметила </w:t>
      </w:r>
      <w:r>
        <w:rPr>
          <w:b w:val="0"/>
          <w:bCs w:val="0"/>
          <w:color w:val="292c2f"/>
        </w:rPr>
        <w:t xml:space="preserve">Светлана Рягузова</w:t>
      </w:r>
      <w:r>
        <w:rPr>
          <w:b w:val="0"/>
          <w:bCs w:val="0"/>
          <w:color w:val="292c2f"/>
        </w:rPr>
        <w:t xml:space="preserve">, руководитель Управления Росреестра по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Представителям министерства были продемонстрированы возможности портала «</w:t>
      </w:r>
      <w:hyperlink r:id="rId30" w:tooltip="https://nspd.gov.ru/#top_section" w:history="1">
        <w:r>
          <w:rPr>
            <w:b w:val="0"/>
            <w:bCs w:val="0"/>
            <w:color w:val="292c2f"/>
          </w:rPr>
          <w:t xml:space="preserve">Национальная система пространственных данных</w:t>
        </w:r>
      </w:hyperlink>
      <w:r>
        <w:rPr>
          <w:b w:val="0"/>
          <w:bCs w:val="0"/>
          <w:color w:val="292c2f"/>
        </w:rPr>
        <w:t xml:space="preserve">», в том числе для предоставления государственных и муниципальных услуг.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Заместитель министра экономического развития Новосибирской области </w:t>
      </w:r>
      <w:r>
        <w:rPr>
          <w:b w:val="0"/>
          <w:bCs w:val="0"/>
          <w:color w:val="292c2f"/>
        </w:rPr>
        <w:t xml:space="preserve">Виталий Шовтак</w:t>
      </w:r>
      <w:r>
        <w:rPr>
          <w:b w:val="0"/>
          <w:bCs w:val="0"/>
          <w:color w:val="292c2f"/>
        </w:rPr>
        <w:t xml:space="preserve"> назвал взаимодействие Управления и министерства как самое оперативное и конструктивное.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его словам, треть всех оказываемых в МФЦ услуг – это услуги Росреестра, 99,8% заявителей удовлетворены качеством их оказания.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завершении мероприятия руководител</w:t>
      </w:r>
      <w:r>
        <w:rPr>
          <w:b w:val="0"/>
          <w:bCs w:val="0"/>
          <w:color w:val="292c2f"/>
        </w:rPr>
        <w:t xml:space="preserve">ю Управления была вручена Почетная грамота министерства экономического развития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20. </w:t>
      </w:r>
      <w:r>
        <w:rPr>
          <w:b/>
          <w:bCs/>
          <w:color w:val="292c2f"/>
        </w:rPr>
        <w:t xml:space="preserve">Комплексные кадастровые работы в Новосибирской области: что необходимо знать собственникам участков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</w:t>
      </w:r>
      <w:r>
        <w:rPr>
          <w:b w:val="0"/>
          <w:bCs w:val="0"/>
          <w:color w:val="292c2f"/>
        </w:rPr>
        <w:t xml:space="preserve"> 2025 году в Искитимском, Ордынском, Коченевском, Мошковском, Черепановском, Тогучинском, Колыванском, Венгеровском и Каргатском районах Новосибирской области проводятся комплексные кадастровые работы. Жители указанных районов получают извещения Росреестра</w:t>
      </w:r>
      <w:r>
        <w:rPr>
          <w:b w:val="0"/>
          <w:bCs w:val="0"/>
          <w:color w:val="292c2f"/>
        </w:rPr>
        <w:t xml:space="preserve"> о начале проведения таких работ в личном кабинете на портале Госуслуг.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</w:t>
      </w:r>
      <w:r>
        <w:rPr>
          <w:b w:val="0"/>
          <w:bCs w:val="0"/>
          <w:color w:val="292c2f"/>
        </w:rPr>
        <w:t xml:space="preserve">Росреестр действительно осуществляет официальное уведомление владельцев объектов недвижимости, расположенных в области проведения комплексных кадастровых работ, и это не связано с мошенничеством или взломом учетной записи», - сообщила заместитель руководит</w:t>
      </w:r>
      <w:r>
        <w:rPr>
          <w:b w:val="0"/>
          <w:bCs w:val="0"/>
          <w:color w:val="292c2f"/>
        </w:rPr>
        <w:t xml:space="preserve">еля Управления Росреестра по Новосибирской области Наталья Ивчатова.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Информация о проведении комплексных кадастровых работ также опубликовывается на официальном сайте Росреестра в сети Интернет в разделе Открытая служба / Статистика и аналитика / Комплексные кадастровые работы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</w:t>
      </w:r>
      <w:r>
        <w:rPr>
          <w:b w:val="0"/>
          <w:bCs w:val="0"/>
          <w:color w:val="292c2f"/>
        </w:rPr>
        <w:t xml:space="preserve">пециалисты новосибирского Росреестра рекомендуют владельцам недвижимости проверить информацию о постановке на кадастровый учет земельного участка и дома, для этого достаточно заказать выписку из Единого государственного реестра недвижимости (ЕГРН) через по</w:t>
      </w:r>
      <w:r>
        <w:rPr>
          <w:b w:val="0"/>
          <w:bCs w:val="0"/>
          <w:color w:val="292c2f"/>
        </w:rPr>
        <w:t xml:space="preserve">ртал Госуслуг. Если объект недвижимости отсутствует в ЕГРН, необходимо обратиться в администрацию муниципального образования (сельского поселения) для уточнения информации в процессе проведения кадастровых работ.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</w:t>
      </w:r>
      <w:r>
        <w:rPr>
          <w:b w:val="0"/>
          <w:bCs w:val="0"/>
          <w:color w:val="292c2f"/>
        </w:rPr>
        <w:t xml:space="preserve"> ходе комплексных кадастровых работ владельцы недвижимости могут принять активное участие в работе согласительных комиссий при муниципальных администрациях, они принимают решения об утверждении границ объектов и урегулируют возможные споры между соседями. </w:t>
      </w:r>
      <w:r>
        <w:rPr>
          <w:b w:val="0"/>
          <w:bCs w:val="0"/>
          <w:color w:val="292c2f"/>
        </w:rPr>
        <w:t xml:space="preserve">С информацией о заседаниях согласительных комиссий можно ознакомиться на официальном сайте Росреестра в сети Интернет.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</w:t>
      </w:r>
      <w:r>
        <w:rPr>
          <w:b w:val="0"/>
          <w:bCs w:val="0"/>
          <w:color w:val="292c2f"/>
        </w:rPr>
        <w:t xml:space="preserve">омплексные кадастровые работы направлены на исправление реестровых ошибок, уточнение границ и повышение точности сведений в ЕГРН. Это особенно важно для тех, кто сталкивался с проблемами при оформлении документов или имел конфликты с соседями из-за неточно</w:t>
      </w:r>
      <w:r>
        <w:rPr>
          <w:b w:val="0"/>
          <w:bCs w:val="0"/>
          <w:color w:val="292c2f"/>
        </w:rPr>
        <w:t xml:space="preserve"> определенных границ участков.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21.</w:t>
      </w:r>
      <w:r>
        <w:rPr>
          <w:b/>
          <w:bCs/>
          <w:color w:val="292c2f"/>
          <w:highlight w:val="none"/>
          <w14:ligatures w14:val="none"/>
        </w:rPr>
        <w:t xml:space="preserve">Новосибирский Росреестр провел семинар для риелторов</w:t>
      </w:r>
      <w:r>
        <w:rPr>
          <w:b/>
          <w:bCs/>
          <w:color w:val="292c2f"/>
          <w:highlight w:val="none"/>
          <w14:ligatures w14:val="none"/>
        </w:rPr>
        <w:t xml:space="preserve">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14 мая специалисты новосибирского Росреестра провели семинар для сотрудников Агентства недвижимости «Этажи».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</w:t>
      </w:r>
      <w:r>
        <w:rPr>
          <w:b w:val="0"/>
          <w:bCs w:val="0"/>
          <w:color w:val="292c2f"/>
          <w:highlight w:val="none"/>
          <w14:ligatures w14:val="none"/>
        </w:rPr>
        <w:t xml:space="preserve">редметом обсуждения стали основные изменения законодательства в сфере кадастрового учета и регистрации прав на недвижимость, новые правила предоставления документов юридическими лицами, особенности сделок с использованием средств материнского капитала, пор</w:t>
      </w:r>
      <w:r>
        <w:rPr>
          <w:b w:val="0"/>
          <w:bCs w:val="0"/>
          <w:color w:val="292c2f"/>
          <w:highlight w:val="none"/>
          <w14:ligatures w14:val="none"/>
        </w:rPr>
        <w:t xml:space="preserve">ядок выдела машиноместа, способы проверки безопасности сделок.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Представителям риелторского сообщества рассказали о функционале цифровой платформы «Национальная система пространственных данных» и продемонстрировали работу некоторых сервисов портала пространственных данных.</w:t>
      </w:r>
      <w:r/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«</w:t>
      </w:r>
      <w:r>
        <w:rPr>
          <w:b w:val="0"/>
          <w:bCs w:val="0"/>
          <w:color w:val="292c2f"/>
          <w:highlight w:val="none"/>
          <w14:ligatures w14:val="none"/>
        </w:rPr>
        <w:t xml:space="preserve">Семинары для профессиональных участников рынка недвижимости проводятся на постоянной основе. Такая практика позволяет оперативно информировать профсообщество о новеллах в сфере оформления недвижимости и обеспечивает осуществление учетно-регистрационных дей</w:t>
      </w:r>
      <w:r>
        <w:rPr>
          <w:b w:val="0"/>
          <w:bCs w:val="0"/>
          <w:color w:val="292c2f"/>
          <w:highlight w:val="none"/>
          <w14:ligatures w14:val="none"/>
        </w:rPr>
        <w:t xml:space="preserve">с</w:t>
      </w:r>
      <w:r>
        <w:rPr>
          <w:b w:val="0"/>
          <w:bCs w:val="0"/>
          <w:color w:val="292c2f"/>
          <w:highlight w:val="none"/>
          <w14:ligatures w14:val="none"/>
        </w:rPr>
        <w:t xml:space="preserve">твий в максимально короткие сроки, а получаемая в ходе мероприятий обратная связь способствует повышению качества оказываемых ведомством государственных услуг», - отметила Наталья Ивчатова, заместитель руководителя Управления Росреестра по Новосибирской об</w:t>
      </w:r>
      <w:r>
        <w:rPr>
          <w:b w:val="0"/>
          <w:bCs w:val="0"/>
          <w:color w:val="292c2f"/>
          <w:highlight w:val="none"/>
          <w14:ligatures w14:val="none"/>
        </w:rPr>
        <w:t xml:space="preserve">ласти.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22.</w:t>
      </w:r>
      <w:r>
        <w:rPr>
          <w:b/>
          <w:bCs/>
          <w:color w:val="292c2f"/>
          <w:highlight w:val="none"/>
          <w14:ligatures w14:val="none"/>
        </w:rPr>
        <w:t xml:space="preserve"> Как исправить ошибки в сведениях о недвижимости</w:t>
      </w:r>
      <w:r>
        <w:rPr>
          <w:b/>
          <w:bCs/>
          <w:color w:val="292c2f"/>
          <w:highlight w:val="none"/>
          <w14:ligatures w14:val="none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1</w:t>
      </w:r>
      <w:r>
        <w:rPr>
          <w:b w:val="0"/>
          <w:bCs w:val="0"/>
          <w:color w:val="292c2f"/>
        </w:rPr>
        <w:t xml:space="preserve">5 мая в филиале ППК «Роскадастр» по Новосибирской области прошла горячая линия по вопросам исправления реестровых ошибок в сведениях Единого государственного реестра недвижимости (ЕГРН). Все желающие смогли получить ответы на интересующие вопросы по данной</w:t>
      </w:r>
      <w:r>
        <w:rPr>
          <w:b w:val="0"/>
          <w:bCs w:val="0"/>
          <w:color w:val="292c2f"/>
        </w:rPr>
        <w:t xml:space="preserve"> теме. Специалисты новосибирского Роскадастра напоминают порядок исправления реестровых ошибок и объясняют, почему важно исправлять неточности в сведениях об объектах недвижимости.</w:t>
      </w:r>
      <w:r/>
    </w:p>
    <w:p>
      <w:pPr>
        <w:ind w:firstLine="708"/>
        <w:rPr>
          <w:b w:val="0"/>
          <w:bCs/>
          <w:i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i/>
          <w:iCs/>
          <w:color w:val="292c2f"/>
        </w:rPr>
        <w:t xml:space="preserve">Откуда берутся реестровые ошибки?</w:t>
      </w:r>
      <w:r>
        <w:rPr>
          <w:b w:val="0"/>
          <w:bCs/>
          <w:i/>
        </w:rPr>
      </w:r>
      <w:r>
        <w:rPr>
          <w:b w:val="0"/>
          <w:bCs/>
          <w:i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Ошибки могут допускаться исполнителем кадастровых работ или быть перенесены из документов, представленных в Росреестр в заявительном порядке или в порядке межведомственного информационного взаимодействия.</w:t>
      </w:r>
      <w:r/>
    </w:p>
    <w:p>
      <w:pPr>
        <w:ind w:firstLine="708"/>
        <w:rPr>
          <w:b w:val="0"/>
          <w:bCs/>
          <w:i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i/>
          <w:iCs/>
          <w:color w:val="292c2f"/>
        </w:rPr>
        <w:t xml:space="preserve">Что делать в случае выявления реестровой ошибки?</w:t>
      </w:r>
      <w:r>
        <w:rPr>
          <w:b w:val="0"/>
          <w:bCs/>
          <w:i/>
        </w:rPr>
      </w:r>
      <w:r>
        <w:rPr>
          <w:b w:val="0"/>
          <w:bCs/>
          <w:i/>
        </w:rPr>
      </w:r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</w:t>
      </w:r>
      <w:r>
        <w:rPr>
          <w:b w:val="0"/>
          <w:bCs w:val="0"/>
          <w:color w:val="292c2f"/>
        </w:rPr>
        <w:t xml:space="preserve"> случае выявления необходимо собрать пакет документов, указывающих на наличие ошибки и содержащих сведения для ее исправления. За подготовкой документов и проведением кадастровых работ следует обратиться к кадастровому инженеру. Заявление на исправление ре</w:t>
      </w:r>
      <w:r>
        <w:rPr>
          <w:b w:val="0"/>
          <w:bCs w:val="0"/>
          <w:color w:val="292c2f"/>
        </w:rPr>
        <w:t xml:space="preserve">естровой ошибки с приложением необходимых документов можно подать в офисе центра «Мои документы» (МФЦ) либо в электронном виде.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</w:t>
      </w:r>
      <w:r>
        <w:rPr>
          <w:b w:val="0"/>
          <w:bCs w:val="0"/>
          <w:color w:val="292c2f"/>
        </w:rPr>
        <w:t xml:space="preserve">шибка исправляется в течение пяти рабочих дней, если исправление не влечет за собой прекращение, возникновение или переход зарегистрированного права на объект недвижимости. Если исправление ошибки может причинить вред или нарушить законные интересы правооб</w:t>
      </w:r>
      <w:r>
        <w:rPr>
          <w:b w:val="0"/>
          <w:bCs w:val="0"/>
          <w:color w:val="292c2f"/>
        </w:rPr>
        <w:t xml:space="preserve">ладателей или третьих лиц, которые полагались на соответствующие записи в ЕГРН, исправление возможно только по решению суда.</w:t>
      </w:r>
      <w:r/>
    </w:p>
    <w:p>
      <w:pPr>
        <w:ind w:firstLine="708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</w:t>
      </w:r>
      <w:r>
        <w:rPr>
          <w:b w:val="0"/>
          <w:bCs w:val="0"/>
          <w:color w:val="292c2f"/>
        </w:rPr>
        <w:t xml:space="preserve"> рамках государственной программы «Национальная система пространственных данных» Управление Росреестра по Новосибирской области и региональный филиал ППК «Роскадастр» проводят работу по определению координат характерных точек границ и площадей земельных уч</w:t>
      </w:r>
      <w:r>
        <w:rPr>
          <w:b w:val="0"/>
          <w:bCs w:val="0"/>
          <w:color w:val="292c2f"/>
        </w:rPr>
        <w:t xml:space="preserve">астков, контуров объектов капитального строительства, что позволяет исправить реестровые ошибки и уточнить местоположение границ объектов недвижимости. На 2025 год запланировано исправить более 3,7 тыс. реестровых ошибок.</w:t>
      </w:r>
      <w:r/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</w:t>
      </w:r>
      <w:r>
        <w:rPr>
          <w:b w:val="0"/>
          <w:bCs w:val="0"/>
          <w:color w:val="292c2f"/>
        </w:rPr>
        <w:t xml:space="preserve">Некорректные данные в сведениях ЕГРН могут создать препятствия при совершении сделок с недвижимым имуществом. Работа по исправлению реестровых ошибок способствует обеспечению защиты прав собственников, так как исключает юридические и финансовые проблемы пр</w:t>
      </w:r>
      <w:r>
        <w:rPr>
          <w:b w:val="0"/>
          <w:bCs w:val="0"/>
          <w:color w:val="292c2f"/>
        </w:rPr>
        <w:t xml:space="preserve">и</w:t>
      </w:r>
      <w:r>
        <w:rPr>
          <w:b w:val="0"/>
          <w:bCs w:val="0"/>
          <w:color w:val="292c2f"/>
        </w:rPr>
        <w:t xml:space="preserve"> проведении сделок. Также повышается достоверность сведений ЕГРН, что положительно влияет на работу электронных сервисов и качество предоставления государственных услуг», – отмечает директор филиала ППК «Роскадастр» по Новосибирской области Виталий Герлиц.</w:t>
      </w:r>
      <w:r>
        <w:rPr>
          <w:b w:val="0"/>
          <w:bCs w:val="0"/>
          <w:color w:val="292c2f"/>
        </w:rPr>
        <w:t xml:space="preserve"> 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23. </w:t>
      </w:r>
      <w:r>
        <w:rPr>
          <w:b/>
          <w:bCs/>
          <w:color w:val="292c2f"/>
          <w:highlight w:val="none"/>
          <w14:ligatures w14:val="none"/>
        </w:rPr>
        <w:t xml:space="preserve">Оформление земельных участков участниками СВО и членами семей участников СВО.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На территории Новосибирской области действуют новые меры поддержки участников специальной военной операции. Предоставлено право на внеочередное бесплатное получение земельных участков: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военнослужащим,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лицам, проходящим службу в войсках национальной гв</w:t>
      </w:r>
      <w:r>
        <w:rPr>
          <w:b w:val="0"/>
          <w:bCs w:val="0"/>
          <w:color w:val="292c2f"/>
          <w:highlight w:val="none"/>
          <w14:ligatures w14:val="none"/>
        </w:rPr>
        <w:t xml:space="preserve">ардии Российской Федерации,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добровольцам, удостоенным званиями Героя России или награжденными орденами Российской Федерации за заслуги, проявленные в ходе участия в специальной военной операции, и одновременно являющимися ветеранами боевых действий.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Так</w:t>
      </w:r>
      <w:r>
        <w:rPr>
          <w:b w:val="0"/>
          <w:bCs w:val="0"/>
          <w:color w:val="292c2f"/>
          <w:highlight w:val="none"/>
          <w14:ligatures w14:val="none"/>
        </w:rPr>
        <w:t xml:space="preserve">ие же права предоставляются членам семей погибших из числа отмеченных государством за особые заслуги участников специальной военной операции.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Для указанных лиц исключено требование о постоянном проживании на территории Новосибирской области при получении </w:t>
      </w:r>
      <w:r>
        <w:rPr>
          <w:b w:val="0"/>
          <w:bCs w:val="0"/>
          <w:color w:val="292c2f"/>
          <w:highlight w:val="none"/>
          <w14:ligatures w14:val="none"/>
        </w:rPr>
        <w:t xml:space="preserve">земельного участка в собственность.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Земельные участки для данной категории граждан предоставляются местными администрациями как для индивидуального жилищного строительства, так и ведения садоводства и огородничества, личного подсобного хозяйства. Взамен з</w:t>
      </w:r>
      <w:r>
        <w:rPr>
          <w:b w:val="0"/>
          <w:bCs w:val="0"/>
          <w:color w:val="292c2f"/>
          <w:highlight w:val="none"/>
          <w14:ligatures w14:val="none"/>
        </w:rPr>
        <w:t xml:space="preserve">емельного участка для индивидуального жилищного строительства можно получить единовременную денежную выплату в размере 331 тыс. рублей.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Новосибирским Росреестром организовано рассмотрение обращений участников специальной военной операции и членов их семей в приоритетном порядке и в минимально короткие сроки.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При оформлении прав на земельные участки указанные лица освобождены от уплаты гос</w:t>
      </w:r>
      <w:r>
        <w:rPr>
          <w:b w:val="0"/>
          <w:bCs w:val="0"/>
          <w:color w:val="292c2f"/>
          <w:highlight w:val="none"/>
          <w14:ligatures w14:val="none"/>
        </w:rPr>
        <w:t xml:space="preserve">ударственной пошлины за государственную регистрацию права собственности.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24. </w:t>
      </w:r>
      <w:r>
        <w:rPr>
          <w:b/>
          <w:bCs/>
          <w:color w:val="292c2f"/>
          <w:highlight w:val="none"/>
          <w14:ligatures w14:val="none"/>
        </w:rPr>
        <w:t xml:space="preserve">Новосибирский Росреестр принял участие в форуме недвижимости «ДрайВ».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21-22 мая в Новосибирске прошел II Сибирский форум недвижимости «ДрайВ», объединивший риелторов, застройщиков, брокеров, кредитные организации более чем из 15 регионов страны.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Спикерами одной из конференций форума стали специалисты новосибирского Росреест</w:t>
      </w:r>
      <w:r>
        <w:rPr>
          <w:b w:val="0"/>
          <w:bCs w:val="0"/>
          <w:color w:val="292c2f"/>
          <w:highlight w:val="none"/>
          <w14:ligatures w14:val="none"/>
        </w:rPr>
        <w:t xml:space="preserve">ра.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Сотрудники ведомства рассказали об основных изменениях законодательства в сфере оформления прав на недвижимость, особенностях осуществления отдельных видов учетно-регистрационных действий, правилах уплаты государственной пошлины, ответили на вопросы у</w:t>
      </w:r>
      <w:r>
        <w:rPr>
          <w:b w:val="0"/>
          <w:bCs w:val="0"/>
          <w:color w:val="292c2f"/>
          <w:highlight w:val="none"/>
          <w14:ligatures w14:val="none"/>
        </w:rPr>
        <w:t xml:space="preserve">частников форума.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«Участие в таких масштабных мероприятиях для профессиональных участников рынка недвижимости позволяет выявить болевые точки заявителей, узнать практику других регионов, дать полезные советы по оформлению документов по экстерриториальному принципу. А значит</w:t>
      </w:r>
      <w:r>
        <w:rPr>
          <w:b w:val="0"/>
          <w:bCs w:val="0"/>
          <w:color w:val="292c2f"/>
          <w:highlight w:val="none"/>
          <w14:ligatures w14:val="none"/>
        </w:rPr>
        <w:t xml:space="preserve"> – сделать процесс регистрации прав более простым и комфортным»</w:t>
      </w:r>
      <w:r>
        <w:rPr>
          <w:b w:val="0"/>
          <w:bCs w:val="0"/>
          <w:color w:val="292c2f"/>
          <w:highlight w:val="none"/>
          <w14:ligatures w14:val="none"/>
        </w:rPr>
        <w:t xml:space="preserve">, - отметила </w:t>
      </w:r>
      <w:r>
        <w:rPr>
          <w:b w:val="0"/>
          <w:bCs w:val="0"/>
          <w:color w:val="292c2f"/>
          <w:highlight w:val="none"/>
          <w14:ligatures w14:val="none"/>
        </w:rPr>
        <w:t xml:space="preserve">Наталья Ивчатова</w:t>
      </w:r>
      <w:r>
        <w:rPr>
          <w:b w:val="0"/>
          <w:bCs w:val="0"/>
          <w:color w:val="292c2f"/>
          <w:highlight w:val="none"/>
          <w14:ligatures w14:val="none"/>
        </w:rPr>
        <w:t xml:space="preserve">, заместитель руководителя Управления Росреестра по Новосибирской области.</w:t>
      </w:r>
      <w:r>
        <w:rPr>
          <w:b w:val="0"/>
          <w:bCs w:val="0"/>
          <w:color w:val="292c2f"/>
          <w:highlight w:val="none"/>
          <w14:ligatures w14:val="none"/>
        </w:rPr>
        <w:t xml:space="preserve"> 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  <w:t xml:space="preserve">25. </w:t>
      </w:r>
      <w:r>
        <w:rPr>
          <w:b/>
          <w:bCs/>
          <w:color w:val="292c2f"/>
          <w:highlight w:val="none"/>
          <w14:ligatures w14:val="none"/>
        </w:rPr>
        <w:t xml:space="preserve">Росреестр принимает участие в работе Международной выставки и научного конгресса «Интерэкспо ГЕО-Сибирь 2025» и Всероссийского съезда кадастровых инженеров.</w:t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Вопросы развития Национальной системы пространственных данных стали предметом обсуждений нескольких мероприятий, состоявшихся в Новосибирске 21 и 22 мая в рамках XXI Международной выставки и научного конгресса «Интерэкспо ГЕО-Сибирь 2025» и XI Всероссийско</w:t>
      </w:r>
      <w:r>
        <w:rPr>
          <w:b w:val="0"/>
          <w:bCs w:val="0"/>
          <w:color w:val="292c2f"/>
          <w:highlight w:val="none"/>
          <w14:ligatures w14:val="none"/>
        </w:rPr>
        <w:t xml:space="preserve">го съезда кадастровых инженеров.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Два масштабных мероприятия объединились одной глобальной темой «Экономика пространственных данных», что позволило соединить теоретические знания и практические разработки в области геоданных.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При поддержке Росреестра 21 мая состоялось пленарное заседание </w:t>
      </w:r>
      <w:r>
        <w:rPr>
          <w:b w:val="0"/>
          <w:bCs w:val="0"/>
          <w:color w:val="292c2f"/>
          <w:highlight w:val="none"/>
          <w14:ligatures w14:val="none"/>
        </w:rPr>
        <w:t xml:space="preserve">«Пространственные данные как драйвер развития экономических процессов». Начальник Управления стратегического развития и цифровой трансформации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Сергей Белокопытов</w:t>
      </w:r>
      <w:r>
        <w:rPr>
          <w:b w:val="0"/>
          <w:bCs w:val="0"/>
          <w:color w:val="292c2f"/>
          <w:highlight w:val="none"/>
          <w14:ligatures w14:val="none"/>
        </w:rPr>
        <w:t xml:space="preserve"> рассказал о функциональных возможностях Единой цифровой платформы «Национальная система пространственных данных» и востребованности портала.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Начальник Управления кадастровых работ и землеустройства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Максим Харитов</w:t>
      </w:r>
      <w:r>
        <w:rPr>
          <w:b w:val="0"/>
          <w:bCs w:val="0"/>
          <w:color w:val="292c2f"/>
          <w:highlight w:val="none"/>
          <w14:ligatures w14:val="none"/>
        </w:rPr>
        <w:t xml:space="preserve"> подробно остановился на вопросах формирования полного и точного реестра, являющегося залогом инвестиционной привлекательности регионов и гарантом прав собственников.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«Создание полного и точного реестра – основная задача, над которой Росреестр работает с 2020 года. Реализация этого проекта поддержана на самом высоком уровне. От наполнения ЕГРН полными и точными сведениями зависит эффективность и качество предоставления </w:t>
      </w:r>
      <w:r>
        <w:rPr>
          <w:b w:val="0"/>
          <w:bCs w:val="0"/>
          <w:color w:val="292c2f"/>
          <w:highlight w:val="none"/>
          <w14:ligatures w14:val="none"/>
        </w:rPr>
        <w:t xml:space="preserve">услуг в сфере земли и недвижимости, а также пространственное развитие страны. Цель на 2027 год – завершить работу по внесению в ЕГРН границ между субъектами (сейчас показатель составляет 81,2%), границ муниципальных образований (91,2%) и территориальных зо</w:t>
      </w:r>
      <w:r>
        <w:rPr>
          <w:b w:val="0"/>
          <w:bCs w:val="0"/>
          <w:color w:val="292c2f"/>
          <w:highlight w:val="none"/>
          <w14:ligatures w14:val="none"/>
        </w:rPr>
        <w:t xml:space="preserve">н (60%). По остальным видам границ работа будет завершена к 2030 году. Среди них в том числе границы объектов культурного наследия федерального значения (85%), зон затопления и подтопления (82,5%), особо охраняемых природных территорий (68,2%) и т.д.»</w:t>
      </w:r>
      <w:r>
        <w:rPr>
          <w:b w:val="0"/>
          <w:bCs w:val="0"/>
          <w:color w:val="292c2f"/>
          <w:highlight w:val="none"/>
          <w14:ligatures w14:val="none"/>
        </w:rPr>
        <w:t xml:space="preserve">, – сказал </w:t>
      </w:r>
      <w:r>
        <w:rPr>
          <w:b w:val="0"/>
          <w:bCs w:val="0"/>
          <w:color w:val="292c2f"/>
          <w:highlight w:val="none"/>
          <w14:ligatures w14:val="none"/>
        </w:rPr>
        <w:t xml:space="preserve">Максим Харитов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Практический опыт и актуальные вопросы использования сервисов НСПД различными профсообществами, органами власти и местного самоуправления рассмотрены в ходе состоявшегося в этот же день круглого стола «Национальная система пространственных данных – основа </w:t>
      </w:r>
      <w:r>
        <w:rPr>
          <w:b w:val="0"/>
          <w:bCs w:val="0"/>
          <w:color w:val="292c2f"/>
          <w:highlight w:val="none"/>
          <w14:ligatures w14:val="none"/>
        </w:rPr>
        <w:t xml:space="preserve">управления недвижимостью и развития территории». За круглым столом собрались представители различных органов и организаций в области недвижимости, в том числе представители территориальных органов Росреестра из разных регионов страны, представители министе</w:t>
      </w:r>
      <w:r>
        <w:rPr>
          <w:b w:val="0"/>
          <w:bCs w:val="0"/>
          <w:color w:val="292c2f"/>
          <w:highlight w:val="none"/>
          <w14:ligatures w14:val="none"/>
        </w:rPr>
        <w:t xml:space="preserve">рств и ведомств, вузов и ссузов Новосибирска, осуществляющих подготовку молодых специалистов по направлениям деятельности ведомства. Модератором встречи выступила руководитель Управления Росреестра по Новосибирской области </w:t>
      </w:r>
      <w:r>
        <w:rPr>
          <w:b w:val="0"/>
          <w:bCs w:val="0"/>
          <w:color w:val="292c2f"/>
          <w:highlight w:val="none"/>
          <w14:ligatures w14:val="none"/>
        </w:rPr>
        <w:t xml:space="preserve">Светлана Рягузова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  <w:br/>
      </w:r>
      <w:r>
        <w:rPr>
          <w:b w:val="0"/>
          <w:bCs w:val="0"/>
          <w:color w:val="292c2f"/>
          <w:highlight w:val="none"/>
          <w14:ligatures w14:val="none"/>
        </w:rPr>
        <w:t xml:space="preserve">С приветственным словом к участникам обратился начальник департамента по инвестиционной политике и территориальному развитию аппарата Полномочного представителя Президента Российской Федерации в Сибирском федеральном округе </w:t>
      </w:r>
      <w:r>
        <w:rPr>
          <w:b w:val="0"/>
          <w:bCs w:val="0"/>
          <w:color w:val="292c2f"/>
          <w:highlight w:val="none"/>
          <w14:ligatures w14:val="none"/>
        </w:rPr>
        <w:t xml:space="preserve">Иван Гончаров</w:t>
      </w:r>
      <w:r>
        <w:rPr>
          <w:b w:val="0"/>
          <w:bCs w:val="0"/>
          <w:color w:val="292c2f"/>
          <w:highlight w:val="none"/>
          <w14:ligatures w14:val="none"/>
        </w:rPr>
        <w:t xml:space="preserve">: </w:t>
      </w:r>
      <w:r>
        <w:rPr>
          <w:b w:val="0"/>
          <w:bCs w:val="0"/>
          <w:color w:val="292c2f"/>
          <w:highlight w:val="none"/>
          <w14:ligatures w14:val="none"/>
        </w:rPr>
        <w:t xml:space="preserve">«Убежден, что обсуждение актуальных вопросов формирования пространственных данных даст новый импульс для поиска эффективных решений по развитию регионов и страны в целом»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ходе мероприятия были рассмотрены современные вызовы и перспективы развития НСПД: использование новых технологий и подходов для дальнейшего совершенствования системы пространственных данных, прогнозы по развитию системы в ближайшие годы.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О структуре </w:t>
      </w:r>
      <w:r>
        <w:rPr>
          <w:b w:val="0"/>
          <w:bCs w:val="0"/>
          <w:color w:val="292c2f"/>
          <w:highlight w:val="none"/>
          <w14:ligatures w14:val="none"/>
        </w:rPr>
        <w:t xml:space="preserve">и компонентах НСПД, ее роли в государственной политике и управлении земельными ресурсами, а также перспективах развития НСПД рассказал в своем выступлении заместитель начальника Управления стратегического развития и цифровой трансформации Росреестра </w:t>
      </w:r>
      <w:r>
        <w:rPr>
          <w:b w:val="0"/>
          <w:bCs w:val="0"/>
          <w:color w:val="292c2f"/>
          <w:highlight w:val="none"/>
          <w14:ligatures w14:val="none"/>
        </w:rPr>
        <w:t xml:space="preserve">Сергей Щеглов</w:t>
      </w:r>
      <w:r>
        <w:rPr>
          <w:b w:val="0"/>
          <w:bCs w:val="0"/>
          <w:color w:val="292c2f"/>
          <w:highlight w:val="none"/>
          <w14:ligatures w14:val="none"/>
        </w:rPr>
        <w:t xml:space="preserve">: </w:t>
      </w:r>
      <w:r>
        <w:rPr>
          <w:b w:val="0"/>
          <w:bCs w:val="0"/>
          <w:color w:val="292c2f"/>
          <w:highlight w:val="none"/>
          <w14:ligatures w14:val="none"/>
        </w:rPr>
        <w:t xml:space="preserve">«Для эффективности использования НСПД в региональных и муниципальных услугах очень важно обеспечить наполнение Системы актуальными данными из региональных информационных систем. Это является зоной ответственности, в первую очередь, органов местного самоупр</w:t>
      </w:r>
      <w:r>
        <w:rPr>
          <w:b w:val="0"/>
          <w:bCs w:val="0"/>
          <w:color w:val="292c2f"/>
          <w:highlight w:val="none"/>
          <w14:ligatures w14:val="none"/>
        </w:rPr>
        <w:t xml:space="preserve">авления. Обеспечив цифровизацию собственной деятельности, они облегчают работу и своих сотрудников, и процесс получения услуг гражданами»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Сервисы НСПД стали доступны для использования больше года назад и уже завоевали популярность. Новосибирский Росреестр провел опрос фокус-групп о востребованности сервисов. Результаты показали следующее. Наиболее популярными сервисами названы: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«Карты НСП</w:t>
      </w:r>
      <w:r>
        <w:rPr>
          <w:b w:val="0"/>
          <w:bCs w:val="0"/>
          <w:color w:val="292c2f"/>
          <w:highlight w:val="none"/>
          <w14:ligatures w14:val="none"/>
        </w:rPr>
        <w:t xml:space="preserve">Д» - 63% респондентов указали это сервис, как самый полезный,</w:t>
        <w:br/>
        <w:t xml:space="preserve">- «Мои объекты недвижимости» - 15,5%,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«Градостроительная проработка онлайн» - 13%.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Всеми пользователями было отмечено важное значение цифровой платформы при осуществлении профессиональной дея</w:t>
      </w:r>
      <w:r>
        <w:rPr>
          <w:b w:val="0"/>
          <w:bCs w:val="0"/>
          <w:color w:val="292c2f"/>
          <w:highlight w:val="none"/>
          <w14:ligatures w14:val="none"/>
        </w:rPr>
        <w:t xml:space="preserve">тельности: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достоверность данных, как следствие – уверенность в принятии правильных решений,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удобство в использовании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0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- экономия времени.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В ходе круглого стола представители региональных органов власти и местного самоуправления, кадастровые инженеры п</w:t>
      </w:r>
      <w:r>
        <w:rPr>
          <w:b w:val="0"/>
          <w:bCs w:val="0"/>
          <w:color w:val="292c2f"/>
          <w:highlight w:val="none"/>
          <w14:ligatures w14:val="none"/>
        </w:rPr>
        <w:t xml:space="preserve">оделились своими практиками использования сервисов НСПД, озвучили предложения по их развитию.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«Круглый стол предоставил уникальную возможность рассмотреть вопросы использования НСПД с разных сторон</w:t>
      </w:r>
      <w:r>
        <w:rPr>
          <w:b w:val="0"/>
          <w:bCs w:val="0"/>
          <w:color w:val="292c2f"/>
          <w:highlight w:val="none"/>
          <w14:ligatures w14:val="none"/>
        </w:rPr>
        <w:t xml:space="preserve">, - отметила руководитель Управления Росреестра по Новосибирской области </w:t>
      </w:r>
      <w:r>
        <w:rPr>
          <w:b w:val="0"/>
          <w:bCs w:val="0"/>
          <w:color w:val="292c2f"/>
          <w:highlight w:val="none"/>
          <w14:ligatures w14:val="none"/>
        </w:rPr>
        <w:t xml:space="preserve">Светлана Рягузова</w:t>
      </w:r>
      <w:r>
        <w:rPr>
          <w:b w:val="0"/>
          <w:bCs w:val="0"/>
          <w:color w:val="292c2f"/>
          <w:highlight w:val="none"/>
          <w14:ligatures w14:val="none"/>
        </w:rPr>
        <w:t xml:space="preserve">. – </w:t>
      </w:r>
      <w:r>
        <w:rPr>
          <w:b w:val="0"/>
          <w:bCs w:val="0"/>
          <w:color w:val="292c2f"/>
          <w:highlight w:val="none"/>
          <w14:ligatures w14:val="none"/>
        </w:rPr>
        <w:t xml:space="preserve">Массив полных и точных данных сегодня позволяет оперативно принимать управленческие решения, оказывать услуги, развивать территории. Сегодня мы начинаем управлять собранными данными»</w:t>
      </w:r>
      <w:r>
        <w:rPr>
          <w:b w:val="0"/>
          <w:bCs w:val="0"/>
          <w:color w:val="292c2f"/>
          <w:highlight w:val="none"/>
          <w14:ligatures w14:val="none"/>
        </w:rPr>
        <w:t xml:space="preserve">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Новосибирская область в первой десятке лидеров – регионов России по наполнению сведениями Национальной системы пространственных данных. Единая электронная картографическая основа, в которую включены все пространственные данные, наполнена почти на 95%. Б</w:t>
      </w:r>
      <w:r>
        <w:rPr>
          <w:b w:val="0"/>
          <w:bCs w:val="0"/>
          <w:color w:val="292c2f"/>
          <w:highlight w:val="none"/>
          <w14:ligatures w14:val="none"/>
        </w:rPr>
        <w:t xml:space="preserve">лагодаря взаимодействию Управления Росреестра с региональными органами власти удалось достичь высоких показателей по наполнению необходимыми сведениями реестра границ – до 81% и реестра прав – сегодня в Новосибирской области 85% объектов содержат сведения </w:t>
      </w:r>
      <w:r>
        <w:rPr>
          <w:b w:val="0"/>
          <w:bCs w:val="0"/>
          <w:color w:val="292c2f"/>
          <w:highlight w:val="none"/>
          <w14:ligatures w14:val="none"/>
        </w:rPr>
        <w:t xml:space="preserve">об их правообладателях.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  <w:t xml:space="preserve">По словам </w:t>
      </w:r>
      <w:r>
        <w:rPr>
          <w:b w:val="0"/>
          <w:bCs w:val="0"/>
          <w:color w:val="292c2f"/>
          <w:highlight w:val="none"/>
          <w14:ligatures w14:val="none"/>
        </w:rPr>
        <w:t xml:space="preserve">Аллы Овчинниковой</w:t>
      </w:r>
      <w:r>
        <w:rPr>
          <w:b w:val="0"/>
          <w:bCs w:val="0"/>
          <w:color w:val="292c2f"/>
          <w:highlight w:val="none"/>
          <w14:ligatures w14:val="none"/>
        </w:rPr>
        <w:t xml:space="preserve">, президента Национальной палаты кадастровых инженеров, члена Общественного совета при Росреестре, продемонстрированная в ходе круглого стола информация поможет масштабировать практику использования сервисов НСПД кадастровыми инженерами, повысить качество </w:t>
      </w:r>
      <w:r>
        <w:rPr>
          <w:b w:val="0"/>
          <w:bCs w:val="0"/>
          <w:color w:val="292c2f"/>
          <w:highlight w:val="none"/>
          <w14:ligatures w14:val="none"/>
        </w:rPr>
        <w:t xml:space="preserve">и сроки выполнения кадастровых работ, а разработчикам платформы - повысить её эффективность.</w:t>
        <w:br/>
      </w:r>
      <w:r>
        <w:rPr>
          <w:b w:val="0"/>
          <w:bCs w:val="0"/>
          <w:color w:val="292c2f"/>
          <w:highlight w:val="none"/>
          <w14:ligatures w14:val="none"/>
        </w:rPr>
        <w:t xml:space="preserve">22 мая состоялся круглый стол «Комплексные кадастровые работы», в рамках которого обсуждены важные аспекты законодательства в сфере выполнения комплексных кадастровых работ. Перед участниками выступил </w:t>
      </w:r>
      <w:r>
        <w:rPr>
          <w:b w:val="0"/>
          <w:bCs w:val="0"/>
          <w:color w:val="292c2f"/>
          <w:highlight w:val="none"/>
          <w14:ligatures w14:val="none"/>
        </w:rPr>
        <w:t xml:space="preserve">Максим Харитов</w:t>
      </w:r>
      <w:r>
        <w:rPr>
          <w:b w:val="0"/>
          <w:bCs w:val="0"/>
          <w:color w:val="292c2f"/>
          <w:highlight w:val="none"/>
          <w14:ligatures w14:val="none"/>
        </w:rPr>
        <w:t xml:space="preserve">. Он отметил, что, начиная с 2025 года выделены беспрецедентные финансирования на выполнение комплексных кадастровых работ. В результате к концу года планируется внести в реестр недвижимости более 4 млн объектов – это объем работ предыдущих четырех лет. Эф</w:t>
      </w:r>
      <w:r>
        <w:rPr>
          <w:b w:val="0"/>
          <w:bCs w:val="0"/>
          <w:color w:val="292c2f"/>
          <w:highlight w:val="none"/>
          <w14:ligatures w14:val="none"/>
        </w:rPr>
        <w:t xml:space="preserve">фект данных работ очевиден как для экономики страны, так и для граждан.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  <w14:ligatures w14:val="none"/>
        </w:rPr>
        <w:t xml:space="preserve">Мероприятия и Форума, и Съезда стали площадками для обмена опытом, укрепления деловых связей и обсуждения инноваций в сфере кадастра и цифровизации.</w:t>
      </w:r>
      <w:r>
        <w:rPr>
          <w:b w:val="0"/>
          <w:bCs w:val="0"/>
          <w:color w:val="292c2f"/>
          <w:highlight w:val="none"/>
          <w14:ligatures w14:val="none"/>
        </w:rPr>
      </w:r>
      <w:r>
        <w:rPr>
          <w:b w:val="0"/>
          <w:bCs w:val="0"/>
          <w:color w:val="292c2f"/>
          <w:highlight w:val="none"/>
          <w14:ligatures w14:val="none"/>
        </w:rPr>
      </w:r>
    </w:p>
    <w:p>
      <w:pPr>
        <w:contextualSpacing/>
        <w:jc w:val="both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Calibri Light">
    <w:panose1 w:val="020F0502020204030204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1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65"/>
      <w:jc w:val="center"/>
      <w:rPr>
        <w:color w:val="auto"/>
        <w:highlight w:val="none"/>
      </w:rPr>
    </w:pPr>
    <w:fldSimple w:instr="PAGE \* MERGEFORMAT">
      <w:r>
        <w:rPr>
          <w:color w:val="auto"/>
        </w:rPr>
        <w:t xml:space="preserve">1</w:t>
      </w:r>
    </w:fldSimple>
    <w:r>
      <w:rPr>
        <w:color w:val="auto"/>
      </w:rPr>
    </w:r>
    <w:r>
      <w:rPr>
        <w:color w:val="auto"/>
        <w:highlight w:val="none"/>
      </w:rPr>
    </w:r>
    <w:r>
      <w:rPr>
        <w:color w:val="auto"/>
        <w:highlight w:val="none"/>
      </w:rPr>
    </w:r>
  </w:p>
  <w:p>
    <w:pPr>
      <w:pStyle w:val="965"/>
      <w:jc w:val="center"/>
    </w:pPr>
    <w:r>
      <w:rPr>
        <w:color w:val="auto"/>
        <w:highlight w:val="none"/>
      </w:rPr>
    </w:r>
    <w:r>
      <w:rPr>
        <w:color w:val="auto"/>
        <w:highlight w:val="none"/>
      </w:rPr>
    </w:r>
    <w:r/>
  </w:p>
  <w:p>
    <w:pPr>
      <w:pStyle w:val="965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65"/>
      <w:jc w:val="center"/>
      <w:rPr>
        <w:color w:val="ffffff" w:themeColor="background1"/>
      </w:rPr>
    </w:pPr>
    <w:fldSimple w:instr="PAGE \* MERGEFORMAT">
      <w:r>
        <w:rPr>
          <w:color w:val="ffffff" w:themeColor="background1"/>
        </w:rPr>
        <w:t xml:space="preserve">1</w:t>
      </w:r>
    </w:fldSimple>
    <w:r>
      <w:rPr>
        <w:color w:val="ffffff" w:themeColor="background1"/>
      </w:rPr>
    </w:r>
    <w:r>
      <w:rPr>
        <w:color w:val="ffffff" w:themeColor="background1"/>
      </w:rPr>
    </w:r>
    <w:r>
      <w:rPr>
        <w:color w:val="ffffff" w:themeColor="background1"/>
      </w:rPr>
    </w:r>
  </w:p>
  <w:p>
    <w:pPr>
      <w:pStyle w:val="965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2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">
    <w:multiLevelType w:val="hybridMultilevel"/>
    <w:lvl w:ilvl="0">
      <w:start w:val="10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4" w:hanging="46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rFonts w:hint="default"/>
        <w:color w:val="auto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5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0">
    <w:multiLevelType w:val="hybridMultilevel"/>
    <w:lvl w:ilvl="0">
      <w:start w:val="19"/>
      <w:numFmt w:val="decimal"/>
      <w:isLgl w:val="false"/>
      <w:suff w:val="tab"/>
      <w:lvlText w:val="%1."/>
      <w:lvlJc w:val="left"/>
      <w:pPr>
        <w:ind w:left="1084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eastAsia="Times New Roman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15" w:hanging="615"/>
      </w:pPr>
    </w:lvl>
    <w:lvl w:ilvl="1">
      <w:start w:val="1"/>
      <w:numFmt w:val="decimal"/>
      <w:isLgl w:val="false"/>
      <w:suff w:val="tab"/>
      <w:lvlText w:val="%2."/>
      <w:lvlJc w:val="left"/>
      <w:pPr>
        <w:ind w:left="1951" w:hanging="720"/>
      </w:pPr>
      <w:rPr>
        <w:rFonts w:ascii="Times New Roman" w:hAnsi="Times New Roman" w:eastAsia="Calibri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18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4773" w:hanging="108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6004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7595" w:hanging="144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9186" w:hanging="180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0417" w:hanging="180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2008" w:hanging="216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63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num w:numId="1">
    <w:abstractNumId w:val="8"/>
  </w:num>
  <w:num w:numId="2">
    <w:abstractNumId w:val="26"/>
  </w:num>
  <w:num w:numId="3">
    <w:abstractNumId w:val="30"/>
  </w:num>
  <w:num w:numId="4">
    <w:abstractNumId w:val="16"/>
  </w:num>
  <w:num w:numId="5">
    <w:abstractNumId w:val="28"/>
  </w:num>
  <w:num w:numId="6">
    <w:abstractNumId w:val="21"/>
  </w:num>
  <w:num w:numId="7">
    <w:abstractNumId w:val="17"/>
  </w:num>
  <w:num w:numId="8">
    <w:abstractNumId w:val="14"/>
  </w:num>
  <w:num w:numId="9">
    <w:abstractNumId w:val="35"/>
  </w:num>
  <w:num w:numId="10">
    <w:abstractNumId w:val="19"/>
  </w:num>
  <w:num w:numId="11">
    <w:abstractNumId w:val="11"/>
  </w:num>
  <w:num w:numId="12">
    <w:abstractNumId w:val="33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24"/>
  </w:num>
  <w:num w:numId="18">
    <w:abstractNumId w:val="25"/>
  </w:num>
  <w:num w:numId="19">
    <w:abstractNumId w:val="22"/>
  </w:num>
  <w:num w:numId="20">
    <w:abstractNumId w:val="20"/>
  </w:num>
  <w:num w:numId="21">
    <w:abstractNumId w:val="31"/>
  </w:num>
  <w:num w:numId="22">
    <w:abstractNumId w:val="32"/>
  </w:num>
  <w:num w:numId="23">
    <w:abstractNumId w:val="2"/>
  </w:num>
  <w:num w:numId="24">
    <w:abstractNumId w:val="10"/>
  </w:num>
  <w:num w:numId="25">
    <w:abstractNumId w:val="6"/>
  </w:num>
  <w:num w:numId="26">
    <w:abstractNumId w:val="13"/>
  </w:num>
  <w:num w:numId="27">
    <w:abstractNumId w:val="7"/>
  </w:num>
  <w:num w:numId="28">
    <w:abstractNumId w:val="23"/>
  </w:num>
  <w:num w:numId="29">
    <w:abstractNumId w:val="4"/>
  </w:num>
  <w:num w:numId="30">
    <w:abstractNumId w:val="34"/>
  </w:num>
  <w:num w:numId="31">
    <w:abstractNumId w:val="29"/>
  </w:num>
  <w:num w:numId="32">
    <w:abstractNumId w:val="27"/>
  </w:num>
  <w:num w:numId="33">
    <w:abstractNumId w:val="15"/>
  </w:num>
  <w:num w:numId="34">
    <w:abstractNumId w:val="9"/>
  </w:num>
  <w:num w:numId="35">
    <w:abstractNumId w:val="0"/>
  </w:num>
  <w:num w:numId="36">
    <w:abstractNumId w:val="18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87">
    <w:name w:val="Heading 1 Char"/>
    <w:basedOn w:val="958"/>
    <w:link w:val="955"/>
    <w:uiPriority w:val="9"/>
    <w:rPr>
      <w:rFonts w:ascii="Arial" w:hAnsi="Arial" w:eastAsia="Arial" w:cs="Arial"/>
      <w:sz w:val="40"/>
      <w:szCs w:val="40"/>
    </w:rPr>
  </w:style>
  <w:style w:type="character" w:styleId="788">
    <w:name w:val="Heading 2 Char"/>
    <w:basedOn w:val="958"/>
    <w:link w:val="956"/>
    <w:uiPriority w:val="9"/>
    <w:rPr>
      <w:rFonts w:ascii="Arial" w:hAnsi="Arial" w:eastAsia="Arial" w:cs="Arial"/>
      <w:sz w:val="34"/>
    </w:rPr>
  </w:style>
  <w:style w:type="character" w:styleId="789">
    <w:name w:val="Heading 3 Char"/>
    <w:basedOn w:val="958"/>
    <w:link w:val="957"/>
    <w:uiPriority w:val="9"/>
    <w:rPr>
      <w:rFonts w:ascii="Arial" w:hAnsi="Arial" w:eastAsia="Arial" w:cs="Arial"/>
      <w:sz w:val="30"/>
      <w:szCs w:val="30"/>
    </w:rPr>
  </w:style>
  <w:style w:type="paragraph" w:styleId="790">
    <w:name w:val="Heading 4"/>
    <w:basedOn w:val="954"/>
    <w:next w:val="954"/>
    <w:link w:val="79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91">
    <w:name w:val="Heading 4 Char"/>
    <w:basedOn w:val="958"/>
    <w:link w:val="790"/>
    <w:uiPriority w:val="9"/>
    <w:rPr>
      <w:rFonts w:ascii="Arial" w:hAnsi="Arial" w:eastAsia="Arial" w:cs="Arial"/>
      <w:b/>
      <w:bCs/>
      <w:sz w:val="26"/>
      <w:szCs w:val="26"/>
    </w:rPr>
  </w:style>
  <w:style w:type="paragraph" w:styleId="792">
    <w:name w:val="Heading 5"/>
    <w:basedOn w:val="954"/>
    <w:next w:val="954"/>
    <w:link w:val="79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93">
    <w:name w:val="Heading 5 Char"/>
    <w:basedOn w:val="958"/>
    <w:link w:val="792"/>
    <w:uiPriority w:val="9"/>
    <w:rPr>
      <w:rFonts w:ascii="Arial" w:hAnsi="Arial" w:eastAsia="Arial" w:cs="Arial"/>
      <w:b/>
      <w:bCs/>
      <w:sz w:val="24"/>
      <w:szCs w:val="24"/>
    </w:rPr>
  </w:style>
  <w:style w:type="paragraph" w:styleId="794">
    <w:name w:val="Heading 6"/>
    <w:basedOn w:val="954"/>
    <w:next w:val="954"/>
    <w:link w:val="79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95">
    <w:name w:val="Heading 6 Char"/>
    <w:basedOn w:val="958"/>
    <w:link w:val="794"/>
    <w:uiPriority w:val="9"/>
    <w:rPr>
      <w:rFonts w:ascii="Arial" w:hAnsi="Arial" w:eastAsia="Arial" w:cs="Arial"/>
      <w:b/>
      <w:bCs/>
      <w:sz w:val="22"/>
      <w:szCs w:val="22"/>
    </w:rPr>
  </w:style>
  <w:style w:type="paragraph" w:styleId="796">
    <w:name w:val="Heading 7"/>
    <w:basedOn w:val="954"/>
    <w:next w:val="954"/>
    <w:link w:val="79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97">
    <w:name w:val="Heading 7 Char"/>
    <w:basedOn w:val="958"/>
    <w:link w:val="79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98">
    <w:name w:val="Heading 8"/>
    <w:basedOn w:val="954"/>
    <w:next w:val="954"/>
    <w:link w:val="79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99">
    <w:name w:val="Heading 8 Char"/>
    <w:basedOn w:val="958"/>
    <w:link w:val="798"/>
    <w:uiPriority w:val="9"/>
    <w:rPr>
      <w:rFonts w:ascii="Arial" w:hAnsi="Arial" w:eastAsia="Arial" w:cs="Arial"/>
      <w:i/>
      <w:iCs/>
      <w:sz w:val="22"/>
      <w:szCs w:val="22"/>
    </w:rPr>
  </w:style>
  <w:style w:type="paragraph" w:styleId="800">
    <w:name w:val="Heading 9"/>
    <w:basedOn w:val="954"/>
    <w:next w:val="954"/>
    <w:link w:val="80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01">
    <w:name w:val="Heading 9 Char"/>
    <w:basedOn w:val="958"/>
    <w:link w:val="800"/>
    <w:uiPriority w:val="9"/>
    <w:rPr>
      <w:rFonts w:ascii="Arial" w:hAnsi="Arial" w:eastAsia="Arial" w:cs="Arial"/>
      <w:i/>
      <w:iCs/>
      <w:sz w:val="21"/>
      <w:szCs w:val="21"/>
    </w:rPr>
  </w:style>
  <w:style w:type="paragraph" w:styleId="802">
    <w:name w:val="Title"/>
    <w:basedOn w:val="954"/>
    <w:next w:val="954"/>
    <w:link w:val="80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803">
    <w:name w:val="Title Char"/>
    <w:basedOn w:val="958"/>
    <w:link w:val="802"/>
    <w:uiPriority w:val="10"/>
    <w:rPr>
      <w:sz w:val="48"/>
      <w:szCs w:val="48"/>
    </w:rPr>
  </w:style>
  <w:style w:type="paragraph" w:styleId="804">
    <w:name w:val="Subtitle"/>
    <w:basedOn w:val="954"/>
    <w:next w:val="954"/>
    <w:link w:val="805"/>
    <w:uiPriority w:val="11"/>
    <w:qFormat/>
    <w:pPr>
      <w:spacing w:before="200" w:after="200"/>
    </w:pPr>
    <w:rPr>
      <w:sz w:val="24"/>
      <w:szCs w:val="24"/>
    </w:rPr>
  </w:style>
  <w:style w:type="character" w:styleId="805">
    <w:name w:val="Subtitle Char"/>
    <w:basedOn w:val="958"/>
    <w:link w:val="804"/>
    <w:uiPriority w:val="11"/>
    <w:rPr>
      <w:sz w:val="24"/>
      <w:szCs w:val="24"/>
    </w:rPr>
  </w:style>
  <w:style w:type="paragraph" w:styleId="806">
    <w:name w:val="Quote"/>
    <w:basedOn w:val="954"/>
    <w:next w:val="954"/>
    <w:link w:val="807"/>
    <w:uiPriority w:val="29"/>
    <w:qFormat/>
    <w:pPr>
      <w:ind w:left="720" w:right="720"/>
    </w:pPr>
    <w:rPr>
      <w:i/>
    </w:rPr>
  </w:style>
  <w:style w:type="character" w:styleId="807">
    <w:name w:val="Quote Char"/>
    <w:link w:val="806"/>
    <w:uiPriority w:val="29"/>
    <w:rPr>
      <w:i/>
    </w:rPr>
  </w:style>
  <w:style w:type="paragraph" w:styleId="808">
    <w:name w:val="Intense Quote"/>
    <w:basedOn w:val="954"/>
    <w:next w:val="954"/>
    <w:link w:val="80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09">
    <w:name w:val="Intense Quote Char"/>
    <w:link w:val="808"/>
    <w:uiPriority w:val="30"/>
    <w:rPr>
      <w:i/>
    </w:rPr>
  </w:style>
  <w:style w:type="character" w:styleId="810">
    <w:name w:val="Header Char"/>
    <w:basedOn w:val="958"/>
    <w:link w:val="965"/>
    <w:uiPriority w:val="99"/>
  </w:style>
  <w:style w:type="character" w:styleId="811">
    <w:name w:val="Footer Char"/>
    <w:basedOn w:val="958"/>
    <w:link w:val="991"/>
    <w:uiPriority w:val="99"/>
  </w:style>
  <w:style w:type="paragraph" w:styleId="812">
    <w:name w:val="Caption"/>
    <w:basedOn w:val="954"/>
    <w:next w:val="954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813">
    <w:name w:val="Caption Char"/>
    <w:basedOn w:val="812"/>
    <w:link w:val="991"/>
    <w:uiPriority w:val="99"/>
  </w:style>
  <w:style w:type="table" w:styleId="814">
    <w:name w:val="Table Grid Light"/>
    <w:basedOn w:val="95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5">
    <w:name w:val="Plain Table 1"/>
    <w:basedOn w:val="95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16">
    <w:name w:val="Plain Table 2"/>
    <w:basedOn w:val="95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17">
    <w:name w:val="Plain Table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18">
    <w:name w:val="Plain Table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9">
    <w:name w:val="Plain Table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20">
    <w:name w:val="Grid Table 1 Light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1">
    <w:name w:val="Grid Table 1 Light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2">
    <w:name w:val="Grid Table 1 Light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3">
    <w:name w:val="Grid Table 1 Light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4">
    <w:name w:val="Grid Table 1 Light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5">
    <w:name w:val="Grid Table 1 Light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6">
    <w:name w:val="Grid Table 1 Light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7">
    <w:name w:val="Grid Table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8">
    <w:name w:val="Grid Table 2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9">
    <w:name w:val="Grid Table 2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0">
    <w:name w:val="Grid Table 2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1">
    <w:name w:val="Grid Table 2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2">
    <w:name w:val="Grid Table 2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3">
    <w:name w:val="Grid Table 2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4">
    <w:name w:val="Grid Table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5">
    <w:name w:val="Grid Table 3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6">
    <w:name w:val="Grid Table 3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7">
    <w:name w:val="Grid Table 3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8">
    <w:name w:val="Grid Table 3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9">
    <w:name w:val="Grid Table 3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0">
    <w:name w:val="Grid Table 3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>
    <w:name w:val="Grid Table 4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42">
    <w:name w:val="Grid Table 4 - Accent 1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843">
    <w:name w:val="Grid Table 4 - Accent 2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44">
    <w:name w:val="Grid Table 4 - Accent 3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45">
    <w:name w:val="Grid Table 4 - Accent 4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46">
    <w:name w:val="Grid Table 4 - Accent 5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47">
    <w:name w:val="Grid Table 4 - Accent 6"/>
    <w:basedOn w:val="95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48">
    <w:name w:val="Grid Table 5 Dark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9">
    <w:name w:val="Grid Table 5 Dark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0">
    <w:name w:val="Grid Table 5 Dark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51">
    <w:name w:val="Grid Table 5 Dark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52">
    <w:name w:val="Grid Table 5 Dark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53">
    <w:name w:val="Grid Table 5 Dark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54">
    <w:name w:val="Grid Table 5 Dark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55">
    <w:name w:val="Grid Table 6 Colorful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56">
    <w:name w:val="Grid Table 6 Colorful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57">
    <w:name w:val="Grid Table 6 Colorful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58">
    <w:name w:val="Grid Table 6 Colorful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59">
    <w:name w:val="Grid Table 6 Colorful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60">
    <w:name w:val="Grid Table 6 Colorful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61">
    <w:name w:val="Grid Table 6 Colorful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62">
    <w:name w:val="Grid Table 7 Colorful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3">
    <w:name w:val="Grid Table 7 Colorful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4">
    <w:name w:val="Grid Table 7 Colorful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5">
    <w:name w:val="Grid Table 7 Colorful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6">
    <w:name w:val="Grid Table 7 Colorful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7">
    <w:name w:val="Grid Table 7 Colorful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8">
    <w:name w:val="Grid Table 7 Colorful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9">
    <w:name w:val="List Table 1 Light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0">
    <w:name w:val="List Table 1 Light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1">
    <w:name w:val="List Table 1 Light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2">
    <w:name w:val="List Table 1 Light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3">
    <w:name w:val="List Table 1 Light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4">
    <w:name w:val="List Table 1 Light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5">
    <w:name w:val="List Table 1 Light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6">
    <w:name w:val="List Table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77">
    <w:name w:val="List Table 2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78">
    <w:name w:val="List Table 2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79">
    <w:name w:val="List Table 2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80">
    <w:name w:val="List Table 2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81">
    <w:name w:val="List Table 2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82">
    <w:name w:val="List Table 2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83">
    <w:name w:val="List Table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4">
    <w:name w:val="List Table 3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5">
    <w:name w:val="List Table 3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6">
    <w:name w:val="List Table 3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7">
    <w:name w:val="List Table 3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8">
    <w:name w:val="List Table 3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9">
    <w:name w:val="List Table 3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0">
    <w:name w:val="List Table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1">
    <w:name w:val="List Table 4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2">
    <w:name w:val="List Table 4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3">
    <w:name w:val="List Table 4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4">
    <w:name w:val="List Table 4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5">
    <w:name w:val="List Table 4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6">
    <w:name w:val="List Table 4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7">
    <w:name w:val="List Table 5 Dark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98">
    <w:name w:val="List Table 5 Dark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99">
    <w:name w:val="List Table 5 Dark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0">
    <w:name w:val="List Table 5 Dark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1">
    <w:name w:val="List Table 5 Dark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2">
    <w:name w:val="List Table 5 Dark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3">
    <w:name w:val="List Table 5 Dark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4">
    <w:name w:val="List Table 6 Colorful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905">
    <w:name w:val="List Table 6 Colorful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906">
    <w:name w:val="List Table 6 Colorful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907">
    <w:name w:val="List Table 6 Colorful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908">
    <w:name w:val="List Table 6 Colorful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909">
    <w:name w:val="List Table 6 Colorful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910">
    <w:name w:val="List Table 6 Colorful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911">
    <w:name w:val="List Table 7 Colorful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912">
    <w:name w:val="List Table 7 Colorful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913">
    <w:name w:val="List Table 7 Colorful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914">
    <w:name w:val="List Table 7 Colorful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915">
    <w:name w:val="List Table 7 Colorful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916">
    <w:name w:val="List Table 7 Colorful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917">
    <w:name w:val="List Table 7 Colorful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918">
    <w:name w:val="Lined - Accent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19">
    <w:name w:val="Lined - Accent 1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20">
    <w:name w:val="Lined - Accent 2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21">
    <w:name w:val="Lined - Accent 3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22">
    <w:name w:val="Lined - Accent 4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23">
    <w:name w:val="Lined - Accent 5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24">
    <w:name w:val="Lined - Accent 6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25">
    <w:name w:val="Bordered &amp; Lined - Accent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26">
    <w:name w:val="Bordered &amp; Lined - Accent 1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27">
    <w:name w:val="Bordered &amp; Lined - Accent 2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28">
    <w:name w:val="Bordered &amp; Lined - Accent 3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29">
    <w:name w:val="Bordered &amp; Lined - Accent 4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30">
    <w:name w:val="Bordered &amp; Lined - Accent 5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31">
    <w:name w:val="Bordered &amp; Lined - Accent 6"/>
    <w:basedOn w:val="95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32">
    <w:name w:val="Bordered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33">
    <w:name w:val="Bordered - Accent 1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34">
    <w:name w:val="Bordered - Accent 2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35">
    <w:name w:val="Bordered - Accent 3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36">
    <w:name w:val="Bordered - Accent 4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937">
    <w:name w:val="Bordered - Accent 5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938">
    <w:name w:val="Bordered - Accent 6"/>
    <w:basedOn w:val="95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939">
    <w:name w:val="Footnote Text Char"/>
    <w:link w:val="972"/>
    <w:uiPriority w:val="99"/>
    <w:rPr>
      <w:sz w:val="18"/>
    </w:rPr>
  </w:style>
  <w:style w:type="paragraph" w:styleId="940">
    <w:name w:val="endnote text"/>
    <w:basedOn w:val="954"/>
    <w:link w:val="941"/>
    <w:uiPriority w:val="99"/>
    <w:semiHidden/>
    <w:unhideWhenUsed/>
    <w:pPr>
      <w:spacing w:after="0" w:line="240" w:lineRule="auto"/>
    </w:pPr>
    <w:rPr>
      <w:sz w:val="20"/>
    </w:rPr>
  </w:style>
  <w:style w:type="character" w:styleId="941">
    <w:name w:val="Endnote Text Char"/>
    <w:link w:val="940"/>
    <w:uiPriority w:val="99"/>
    <w:rPr>
      <w:sz w:val="20"/>
    </w:rPr>
  </w:style>
  <w:style w:type="character" w:styleId="942">
    <w:name w:val="endnote reference"/>
    <w:basedOn w:val="958"/>
    <w:uiPriority w:val="99"/>
    <w:semiHidden/>
    <w:unhideWhenUsed/>
    <w:rPr>
      <w:vertAlign w:val="superscript"/>
    </w:rPr>
  </w:style>
  <w:style w:type="paragraph" w:styleId="943">
    <w:name w:val="toc 1"/>
    <w:basedOn w:val="954"/>
    <w:next w:val="954"/>
    <w:uiPriority w:val="39"/>
    <w:unhideWhenUsed/>
    <w:pPr>
      <w:ind w:left="0" w:right="0" w:firstLine="0"/>
      <w:spacing w:after="57"/>
    </w:pPr>
  </w:style>
  <w:style w:type="paragraph" w:styleId="944">
    <w:name w:val="toc 2"/>
    <w:basedOn w:val="954"/>
    <w:next w:val="954"/>
    <w:uiPriority w:val="39"/>
    <w:unhideWhenUsed/>
    <w:pPr>
      <w:ind w:left="283" w:right="0" w:firstLine="0"/>
      <w:spacing w:after="57"/>
    </w:pPr>
  </w:style>
  <w:style w:type="paragraph" w:styleId="945">
    <w:name w:val="toc 3"/>
    <w:basedOn w:val="954"/>
    <w:next w:val="954"/>
    <w:uiPriority w:val="39"/>
    <w:unhideWhenUsed/>
    <w:pPr>
      <w:ind w:left="567" w:right="0" w:firstLine="0"/>
      <w:spacing w:after="57"/>
    </w:pPr>
  </w:style>
  <w:style w:type="paragraph" w:styleId="946">
    <w:name w:val="toc 4"/>
    <w:basedOn w:val="954"/>
    <w:next w:val="954"/>
    <w:uiPriority w:val="39"/>
    <w:unhideWhenUsed/>
    <w:pPr>
      <w:ind w:left="850" w:right="0" w:firstLine="0"/>
      <w:spacing w:after="57"/>
    </w:pPr>
  </w:style>
  <w:style w:type="paragraph" w:styleId="947">
    <w:name w:val="toc 5"/>
    <w:basedOn w:val="954"/>
    <w:next w:val="954"/>
    <w:uiPriority w:val="39"/>
    <w:unhideWhenUsed/>
    <w:pPr>
      <w:ind w:left="1134" w:right="0" w:firstLine="0"/>
      <w:spacing w:after="57"/>
    </w:pPr>
  </w:style>
  <w:style w:type="paragraph" w:styleId="948">
    <w:name w:val="toc 6"/>
    <w:basedOn w:val="954"/>
    <w:next w:val="954"/>
    <w:uiPriority w:val="39"/>
    <w:unhideWhenUsed/>
    <w:pPr>
      <w:ind w:left="1417" w:right="0" w:firstLine="0"/>
      <w:spacing w:after="57"/>
    </w:pPr>
  </w:style>
  <w:style w:type="paragraph" w:styleId="949">
    <w:name w:val="toc 7"/>
    <w:basedOn w:val="954"/>
    <w:next w:val="954"/>
    <w:uiPriority w:val="39"/>
    <w:unhideWhenUsed/>
    <w:pPr>
      <w:ind w:left="1701" w:right="0" w:firstLine="0"/>
      <w:spacing w:after="57"/>
    </w:pPr>
  </w:style>
  <w:style w:type="paragraph" w:styleId="950">
    <w:name w:val="toc 8"/>
    <w:basedOn w:val="954"/>
    <w:next w:val="954"/>
    <w:uiPriority w:val="39"/>
    <w:unhideWhenUsed/>
    <w:pPr>
      <w:ind w:left="1984" w:right="0" w:firstLine="0"/>
      <w:spacing w:after="57"/>
    </w:pPr>
  </w:style>
  <w:style w:type="paragraph" w:styleId="951">
    <w:name w:val="toc 9"/>
    <w:basedOn w:val="954"/>
    <w:next w:val="954"/>
    <w:uiPriority w:val="39"/>
    <w:unhideWhenUsed/>
    <w:pPr>
      <w:ind w:left="2268" w:right="0" w:firstLine="0"/>
      <w:spacing w:after="57"/>
    </w:pPr>
  </w:style>
  <w:style w:type="paragraph" w:styleId="952">
    <w:name w:val="TOC Heading"/>
    <w:uiPriority w:val="39"/>
    <w:unhideWhenUsed/>
  </w:style>
  <w:style w:type="paragraph" w:styleId="953">
    <w:name w:val="table of figures"/>
    <w:basedOn w:val="954"/>
    <w:next w:val="954"/>
    <w:uiPriority w:val="99"/>
    <w:unhideWhenUsed/>
    <w:pPr>
      <w:spacing w:after="0" w:afterAutospacing="0"/>
    </w:pPr>
  </w:style>
  <w:style w:type="paragraph" w:styleId="954" w:default="1">
    <w:name w:val="Normal"/>
    <w:qFormat/>
    <w:pPr>
      <w:contextualSpacing/>
      <w:ind w:firstLine="708"/>
      <w:jc w:val="both"/>
      <w:spacing w:line="240" w:lineRule="auto"/>
    </w:pPr>
    <w:rPr>
      <w:rFonts w:ascii="Times New Roman" w:hAnsi="Times New Roman" w:eastAsia="Calibri" w:cs="Times New Roman"/>
      <w:b/>
      <w:bCs/>
      <w:color w:val="000000"/>
      <w:sz w:val="28"/>
      <w:szCs w:val="28"/>
      <w:shd w:val="clear" w:color="ffffff" w:themeColor="background1" w:fill="ffffff" w:themeFill="background1"/>
    </w:rPr>
  </w:style>
  <w:style w:type="paragraph" w:styleId="955">
    <w:name w:val="Heading 1"/>
    <w:basedOn w:val="954"/>
    <w:link w:val="961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56">
    <w:name w:val="Heading 2"/>
    <w:basedOn w:val="954"/>
    <w:next w:val="954"/>
    <w:link w:val="978"/>
    <w:uiPriority w:val="9"/>
    <w:unhideWhenUsed/>
    <w:qFormat/>
    <w:pPr>
      <w:keepLines/>
      <w:keepNext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957">
    <w:name w:val="Heading 3"/>
    <w:basedOn w:val="954"/>
    <w:next w:val="954"/>
    <w:link w:val="999"/>
    <w:uiPriority w:val="9"/>
    <w:semiHidden/>
    <w:unhideWhenUsed/>
    <w:qFormat/>
    <w:pPr>
      <w:keepLines/>
      <w:keepNext/>
      <w:spacing w:before="40" w:after="0"/>
      <w:outlineLvl w:val="2"/>
    </w:pPr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character" w:styleId="958" w:default="1">
    <w:name w:val="Default Paragraph Font"/>
    <w:uiPriority w:val="1"/>
    <w:semiHidden/>
    <w:unhideWhenUsed/>
  </w:style>
  <w:style w:type="table" w:styleId="95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60" w:default="1">
    <w:name w:val="No List"/>
    <w:uiPriority w:val="99"/>
    <w:semiHidden/>
    <w:unhideWhenUsed/>
  </w:style>
  <w:style w:type="character" w:styleId="961" w:customStyle="1">
    <w:name w:val="Заголовок 1 Знак"/>
    <w:basedOn w:val="958"/>
    <w:link w:val="955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62" w:customStyle="1">
    <w:name w:val="ConsPlusNormal"/>
    <w:link w:val="963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963" w:customStyle="1">
    <w:name w:val="ConsPlusNormal Знак"/>
    <w:basedOn w:val="958"/>
    <w:link w:val="962"/>
    <w:rPr>
      <w:rFonts w:ascii="Arial" w:hAnsi="Arial" w:eastAsia="Times New Roman" w:cs="Arial"/>
      <w:sz w:val="20"/>
      <w:szCs w:val="20"/>
      <w:lang w:eastAsia="ru-RU"/>
    </w:rPr>
  </w:style>
  <w:style w:type="character" w:styleId="964">
    <w:name w:val="Hyperlink"/>
    <w:basedOn w:val="958"/>
    <w:unhideWhenUsed/>
    <w:rPr>
      <w:color w:val="0000ff"/>
      <w:u w:val="single"/>
    </w:rPr>
  </w:style>
  <w:style w:type="paragraph" w:styleId="965">
    <w:name w:val="Header"/>
    <w:basedOn w:val="954"/>
    <w:link w:val="966"/>
    <w:uiPriority w:val="99"/>
    <w:pPr>
      <w:spacing w:after="0" w:line="240" w:lineRule="auto"/>
      <w:tabs>
        <w:tab w:val="center" w:pos="4677" w:leader="none"/>
        <w:tab w:val="right" w:pos="9355" w:leader="none"/>
      </w:tabs>
    </w:pPr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66" w:customStyle="1">
    <w:name w:val="Верхний колонтитул Знак"/>
    <w:basedOn w:val="958"/>
    <w:link w:val="965"/>
    <w:uiPriority w:val="99"/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67" w:customStyle="1">
    <w:name w:val="title1"/>
    <w:basedOn w:val="958"/>
  </w:style>
  <w:style w:type="paragraph" w:styleId="968">
    <w:name w:val="Balloon Text"/>
    <w:basedOn w:val="954"/>
    <w:link w:val="969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969" w:customStyle="1">
    <w:name w:val="Текст выноски Знак"/>
    <w:basedOn w:val="958"/>
    <w:link w:val="968"/>
    <w:uiPriority w:val="99"/>
    <w:semiHidden/>
    <w:rPr>
      <w:rFonts w:ascii="Tahoma" w:hAnsi="Tahoma" w:cs="Tahoma"/>
      <w:sz w:val="16"/>
      <w:szCs w:val="16"/>
    </w:rPr>
  </w:style>
  <w:style w:type="paragraph" w:styleId="970">
    <w:name w:val="Normal (Web)"/>
    <w:basedOn w:val="954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971">
    <w:name w:val="Table Grid"/>
    <w:basedOn w:val="959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72">
    <w:name w:val="footnote text"/>
    <w:basedOn w:val="954"/>
    <w:link w:val="973"/>
    <w:uiPriority w:val="99"/>
    <w:unhideWhenUsed/>
    <w:pPr>
      <w:spacing w:after="0" w:line="240" w:lineRule="auto"/>
    </w:pPr>
    <w:rPr>
      <w:sz w:val="20"/>
      <w:szCs w:val="20"/>
    </w:rPr>
  </w:style>
  <w:style w:type="character" w:styleId="973" w:customStyle="1">
    <w:name w:val="Текст сноски Знак"/>
    <w:basedOn w:val="958"/>
    <w:link w:val="972"/>
    <w:uiPriority w:val="99"/>
    <w:rPr>
      <w:sz w:val="20"/>
      <w:szCs w:val="20"/>
    </w:rPr>
  </w:style>
  <w:style w:type="character" w:styleId="974">
    <w:name w:val="footnote reference"/>
    <w:basedOn w:val="958"/>
    <w:uiPriority w:val="99"/>
    <w:unhideWhenUsed/>
    <w:rPr>
      <w:vertAlign w:val="superscript"/>
    </w:rPr>
  </w:style>
  <w:style w:type="paragraph" w:styleId="975">
    <w:name w:val="List Paragraph"/>
    <w:basedOn w:val="954"/>
    <w:uiPriority w:val="34"/>
    <w:qFormat/>
    <w:pPr>
      <w:contextualSpacing/>
      <w:ind w:left="720"/>
      <w:spacing w:after="160" w:line="259" w:lineRule="auto"/>
    </w:pPr>
  </w:style>
  <w:style w:type="paragraph" w:styleId="976">
    <w:name w:val="Body Text"/>
    <w:basedOn w:val="954"/>
    <w:link w:val="977"/>
    <w:uiPriority w:val="1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  <w:sz w:val="28"/>
      <w:szCs w:val="28"/>
    </w:rPr>
  </w:style>
  <w:style w:type="character" w:styleId="977" w:customStyle="1">
    <w:name w:val="Основной текст Знак"/>
    <w:basedOn w:val="958"/>
    <w:link w:val="976"/>
    <w:uiPriority w:val="1"/>
    <w:rPr>
      <w:rFonts w:ascii="Times New Roman" w:hAnsi="Times New Roman" w:eastAsia="Times New Roman" w:cs="Times New Roman"/>
      <w:sz w:val="28"/>
      <w:szCs w:val="28"/>
    </w:rPr>
  </w:style>
  <w:style w:type="character" w:styleId="978" w:customStyle="1">
    <w:name w:val="Заголовок 2 Знак"/>
    <w:basedOn w:val="958"/>
    <w:link w:val="956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979" w:customStyle="1">
    <w:name w:val="Абзац списка1"/>
    <w:basedOn w:val="954"/>
    <w:pPr>
      <w:contextualSpacing/>
      <w:ind w:left="720"/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980">
    <w:name w:val="Strong"/>
    <w:basedOn w:val="958"/>
    <w:uiPriority w:val="22"/>
    <w:qFormat/>
    <w:rPr>
      <w:b/>
      <w:bCs/>
    </w:rPr>
  </w:style>
  <w:style w:type="character" w:styleId="981" w:customStyle="1">
    <w:name w:val="news__arrowdesktop"/>
    <w:basedOn w:val="958"/>
  </w:style>
  <w:style w:type="paragraph" w:styleId="982" w:customStyle="1">
    <w:name w:val="align_center"/>
    <w:basedOn w:val="95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83" w:customStyle="1">
    <w:name w:val="no-indent"/>
    <w:basedOn w:val="95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84">
    <w:name w:val="No Spacing"/>
    <w:link w:val="997"/>
    <w:uiPriority w:val="1"/>
    <w:qFormat/>
    <w:pPr>
      <w:spacing w:after="0" w:line="240" w:lineRule="auto"/>
    </w:pPr>
  </w:style>
  <w:style w:type="character" w:styleId="985" w:customStyle="1">
    <w:name w:val="Текст примечания Знак"/>
    <w:basedOn w:val="958"/>
    <w:link w:val="986"/>
    <w:uiPriority w:val="99"/>
    <w:semiHidden/>
    <w:rPr>
      <w:sz w:val="20"/>
      <w:szCs w:val="20"/>
    </w:rPr>
  </w:style>
  <w:style w:type="paragraph" w:styleId="986">
    <w:name w:val="annotation text"/>
    <w:basedOn w:val="954"/>
    <w:link w:val="985"/>
    <w:uiPriority w:val="99"/>
    <w:semiHidden/>
    <w:unhideWhenUsed/>
    <w:pPr>
      <w:spacing w:after="160" w:line="240" w:lineRule="auto"/>
    </w:pPr>
    <w:rPr>
      <w:sz w:val="20"/>
      <w:szCs w:val="20"/>
    </w:rPr>
  </w:style>
  <w:style w:type="character" w:styleId="987" w:customStyle="1">
    <w:name w:val="Текст примечания Знак1"/>
    <w:basedOn w:val="958"/>
    <w:uiPriority w:val="99"/>
    <w:semiHidden/>
    <w:rPr>
      <w:sz w:val="20"/>
      <w:szCs w:val="20"/>
    </w:rPr>
  </w:style>
  <w:style w:type="character" w:styleId="988" w:customStyle="1">
    <w:name w:val="Тема примечания Знак"/>
    <w:basedOn w:val="985"/>
    <w:link w:val="989"/>
    <w:uiPriority w:val="99"/>
    <w:semiHidden/>
    <w:rPr>
      <w:b/>
      <w:bCs/>
      <w:sz w:val="20"/>
      <w:szCs w:val="20"/>
    </w:rPr>
  </w:style>
  <w:style w:type="paragraph" w:styleId="989">
    <w:name w:val="annotation subject"/>
    <w:basedOn w:val="986"/>
    <w:next w:val="986"/>
    <w:link w:val="988"/>
    <w:uiPriority w:val="99"/>
    <w:semiHidden/>
    <w:unhideWhenUsed/>
    <w:rPr>
      <w:b/>
      <w:bCs/>
    </w:rPr>
  </w:style>
  <w:style w:type="character" w:styleId="990" w:customStyle="1">
    <w:name w:val="Тема примечания Знак1"/>
    <w:basedOn w:val="987"/>
    <w:uiPriority w:val="99"/>
    <w:semiHidden/>
    <w:rPr>
      <w:b/>
      <w:bCs/>
      <w:sz w:val="20"/>
      <w:szCs w:val="20"/>
    </w:rPr>
  </w:style>
  <w:style w:type="paragraph" w:styleId="991">
    <w:name w:val="Footer"/>
    <w:basedOn w:val="954"/>
    <w:link w:val="992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992" w:customStyle="1">
    <w:name w:val="Нижний колонтитул Знак"/>
    <w:basedOn w:val="958"/>
    <w:link w:val="991"/>
    <w:uiPriority w:val="99"/>
  </w:style>
  <w:style w:type="paragraph" w:styleId="993" w:customStyle="1">
    <w:name w:val="Style4"/>
    <w:basedOn w:val="954"/>
    <w:uiPriority w:val="99"/>
    <w:pPr>
      <w:ind w:firstLine="845"/>
      <w:jc w:val="both"/>
      <w:spacing w:after="0" w:line="323" w:lineRule="exact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994" w:customStyle="1">
    <w:name w:val="Font Style20"/>
    <w:basedOn w:val="958"/>
    <w:uiPriority w:val="99"/>
    <w:rPr>
      <w:rFonts w:ascii="Times New Roman" w:hAnsi="Times New Roman" w:cs="Times New Roman"/>
      <w:sz w:val="26"/>
      <w:szCs w:val="26"/>
    </w:rPr>
  </w:style>
  <w:style w:type="paragraph" w:styleId="995" w:customStyle="1">
    <w:name w:val="Style8"/>
    <w:basedOn w:val="954"/>
    <w:uiPriority w:val="99"/>
    <w:pPr>
      <w:jc w:val="both"/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996" w:customStyle="1">
    <w:name w:val="ConsPlusTitle"/>
    <w:uiPriority w:val="99"/>
    <w:pPr>
      <w:spacing w:after="0" w:line="240" w:lineRule="auto"/>
      <w:widowControl w:val="off"/>
    </w:pPr>
    <w:rPr>
      <w:rFonts w:ascii="Arial" w:hAnsi="Arial" w:eastAsia="Times New Roman" w:cs="Arial"/>
      <w:b/>
      <w:bCs/>
      <w:sz w:val="20"/>
      <w:szCs w:val="20"/>
      <w:lang w:eastAsia="ru-RU"/>
    </w:rPr>
  </w:style>
  <w:style w:type="character" w:styleId="997" w:customStyle="1">
    <w:name w:val="Без интервала Знак"/>
    <w:link w:val="984"/>
    <w:uiPriority w:val="1"/>
  </w:style>
  <w:style w:type="paragraph" w:styleId="998" w:customStyle="1">
    <w:name w:val="Style11"/>
    <w:basedOn w:val="954"/>
    <w:uiPriority w:val="99"/>
    <w:pPr>
      <w:jc w:val="both"/>
      <w:spacing w:after="0" w:line="371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999" w:customStyle="1">
    <w:name w:val="Заголовок 3 Знак"/>
    <w:basedOn w:val="958"/>
    <w:link w:val="957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paragraph" w:styleId="1000" w:customStyle="1">
    <w:name w:val="Style17"/>
    <w:basedOn w:val="954"/>
    <w:uiPriority w:val="99"/>
    <w:pPr>
      <w:ind w:firstLine="706"/>
      <w:jc w:val="both"/>
      <w:spacing w:after="0" w:line="370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01" w:customStyle="1">
    <w:name w:val="u"/>
    <w:basedOn w:val="95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02" w:customStyle="1">
    <w:name w:val="Сетка таблицы1"/>
    <w:basedOn w:val="959"/>
    <w:next w:val="971"/>
    <w:uiPriority w:val="3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03" w:customStyle="1">
    <w:name w:val="Абзац списка"/>
    <w:uiPriority w:val="34"/>
    <w:qFormat/>
    <w:pPr>
      <w:contextualSpacing/>
      <w:ind w:left="720" w:right="0" w:firstLine="709"/>
      <w:jc w:val="both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04" w:customStyle="1">
    <w:name w:val="Обычный (веб)"/>
    <w:uiPriority w:val="99"/>
    <w:unhideWhenUsed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05" w:customStyle="1">
    <w:name w:val="Текст сноски"/>
    <w:uiPriority w:val="99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en-US" w:eastAsia="ru-RU" w:bidi="ar-SA"/>
      <w14:ligatures w14:val="none"/>
    </w:rPr>
  </w:style>
  <w:style w:type="character" w:styleId="1006" w:customStyle="1">
    <w:name w:val="Знак сноски"/>
    <w:uiPriority w:val="99"/>
    <w:semiHidden/>
    <w:rPr>
      <w:vertAlign w:val="superscript"/>
    </w:rPr>
  </w:style>
  <w:style w:type="paragraph" w:styleId="1007" w:customStyle="1">
    <w:name w:val="Style1"/>
    <w:uiPriority w:val="99"/>
    <w:pPr>
      <w:contextualSpacing w:val="0"/>
      <w:ind w:left="0" w:right="0" w:firstLine="713"/>
      <w:jc w:val="both"/>
      <w:keepLines w:val="0"/>
      <w:keepNext w:val="0"/>
      <w:pageBreakBefore w:val="0"/>
      <w:spacing w:before="0" w:beforeAutospacing="0" w:after="0" w:afterAutospacing="0" w:line="356" w:lineRule="exact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08" w:customStyle="1">
    <w:name w:val="Default"/>
    <w:next w:val="955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character" w:styleId="1009" w:customStyle="1">
    <w:name w:val="Гиперссылка"/>
    <w:uiPriority w:val="99"/>
    <w:rPr>
      <w:color w:val="0000ff"/>
      <w:u w:val="single"/>
    </w:rPr>
  </w:style>
  <w:style w:type="paragraph" w:styleId="1010" w:customStyle="1">
    <w:name w:val="Без интервала"/>
    <w:next w:val="864"/>
    <w:link w:val="792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alibri" w:hAnsi="Calibri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11" w:customStyle="1">
    <w:name w:val="Заголовок 3"/>
    <w:uiPriority w:val="9"/>
    <w:unhideWhenUsed/>
    <w:qFormat/>
    <w:pPr>
      <w:contextualSpacing w:val="0"/>
      <w:ind w:left="0" w:right="0" w:firstLine="709"/>
      <w:jc w:val="both"/>
      <w:keepLines w:val="0"/>
      <w:keepNext/>
      <w:pageBreakBefore w:val="0"/>
      <w:spacing w:before="240" w:beforeAutospacing="0" w:after="6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2"/>
      <w:suppressLineNumbers w:val="0"/>
    </w:pPr>
    <w:rPr>
      <w:rFonts w:ascii="Calibri Light" w:hAnsi="Calibri Light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6"/>
      <w:szCs w:val="26"/>
      <w:highlight w:val="none"/>
      <w:u w:val="none"/>
      <w:vertAlign w:val="baseline"/>
      <w:rtl w:val="0"/>
      <w:cs w:val="0"/>
      <w:lang w:val="en-US" w:eastAsia="en-US" w:bidi="ar-SA"/>
      <w14:ligatures w14:val="none"/>
    </w:rPr>
  </w:style>
  <w:style w:type="paragraph" w:styleId="1012" w:customStyle="1">
    <w:name w:val="Text body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13" w:customStyle="1">
    <w:name w:val="ConsPlusTitlePage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ahoma" w:hAnsi="Tahoma" w:eastAsia="Times New Roman" w:cs="Tahoma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customXml" Target="../customXml/item1.xml" /><Relationship Id="rId13" Type="http://schemas.openxmlformats.org/officeDocument/2006/relationships/image" Target="media/image1.jpg"/><Relationship Id="rId14" Type="http://schemas.openxmlformats.org/officeDocument/2006/relationships/image" Target="media/image2.png"/><Relationship Id="rId15" Type="http://schemas.openxmlformats.org/officeDocument/2006/relationships/image" Target="media/image3.png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png"/><Relationship Id="rId19" Type="http://schemas.openxmlformats.org/officeDocument/2006/relationships/image" Target="media/image7.png"/><Relationship Id="rId20" Type="http://schemas.openxmlformats.org/officeDocument/2006/relationships/image" Target="media/image8.pn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image" Target="media/image11.png"/><Relationship Id="rId24" Type="http://schemas.openxmlformats.org/officeDocument/2006/relationships/image" Target="media/image12.png"/><Relationship Id="rId25" Type="http://schemas.openxmlformats.org/officeDocument/2006/relationships/hyperlink" Target="http://publication.pravo.gov.ru/document/0001202504250038" TargetMode="External"/><Relationship Id="rId26" Type="http://schemas.openxmlformats.org/officeDocument/2006/relationships/hyperlink" Target="http://publication.pravo.gov.ru/document/0001202408080107" TargetMode="External"/><Relationship Id="rId27" Type="http://schemas.openxmlformats.org/officeDocument/2006/relationships/hyperlink" Target="https://www.rosreestr.gov.ru/press/archive/rosreestr-razyasnil-kak-budet-rabotat-zakon-ob-osvoenii-i-ispolzovanii-uchastkov/" TargetMode="External"/><Relationship Id="rId28" Type="http://schemas.openxmlformats.org/officeDocument/2006/relationships/hyperlink" Target="https://nspd.gov.ru/cadastral-price/reports" TargetMode="External"/><Relationship Id="rId29" Type="http://schemas.openxmlformats.org/officeDocument/2006/relationships/hyperlink" Target="https://rosreestr.gov.ru/press/archive/gosduma-prinyala-v-i-chtenii-zakonoproekt-o-provedenii-kadotsenki-s-pomoshchyu-nspd/?ysclid=m6j18qlx8l855419696" TargetMode="External"/><Relationship Id="rId30" Type="http://schemas.openxmlformats.org/officeDocument/2006/relationships/hyperlink" Target="https://nspd.gov.ru/#top_section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D1D05F-EA87-412F-94C7-22C86E3B3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Р7-Офис/2024.3.2.551</Application>
  <Company>Microsoft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ziaa</dc:creator>
  <cp:keywords/>
  <dc:description/>
  <cp:revision>70</cp:revision>
  <dcterms:created xsi:type="dcterms:W3CDTF">2023-01-26T03:20:00Z</dcterms:created>
  <dcterms:modified xsi:type="dcterms:W3CDTF">2025-06-04T07:45:21Z</dcterms:modified>
</cp:coreProperties>
</file>